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395"/>
      </w:tblGrid>
      <w:tr w:rsidR="0056011F" w:rsidRPr="0071552F" w:rsidTr="00BB385F">
        <w:trPr>
          <w:trHeight w:val="342"/>
        </w:trPr>
        <w:tc>
          <w:tcPr>
            <w:tcW w:w="9622" w:type="dxa"/>
            <w:gridSpan w:val="2"/>
            <w:noWrap/>
          </w:tcPr>
          <w:p w:rsidR="0056011F" w:rsidRPr="0071552F" w:rsidRDefault="0056011F" w:rsidP="0071552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71552F">
              <w:rPr>
                <w:b/>
                <w:bCs/>
                <w:sz w:val="28"/>
                <w:szCs w:val="28"/>
              </w:rPr>
              <w:t xml:space="preserve">DES - Appendix to credit: EAc5 - Measurement and Verification </w:t>
            </w:r>
          </w:p>
        </w:tc>
      </w:tr>
      <w:tr w:rsidR="0056011F" w:rsidRPr="0071552F" w:rsidTr="00BB385F">
        <w:trPr>
          <w:trHeight w:val="300"/>
        </w:trPr>
        <w:tc>
          <w:tcPr>
            <w:tcW w:w="3227" w:type="dxa"/>
            <w:noWrap/>
          </w:tcPr>
          <w:p w:rsidR="0056011F" w:rsidRPr="0071552F" w:rsidRDefault="0056011F" w:rsidP="0071552F">
            <w:pPr>
              <w:spacing w:after="0" w:line="240" w:lineRule="auto"/>
              <w:rPr>
                <w:b/>
                <w:bCs/>
              </w:rPr>
            </w:pPr>
            <w:r w:rsidRPr="0071552F">
              <w:rPr>
                <w:b/>
                <w:bCs/>
              </w:rPr>
              <w:t>Requirement</w:t>
            </w:r>
          </w:p>
        </w:tc>
        <w:tc>
          <w:tcPr>
            <w:tcW w:w="6395" w:type="dxa"/>
            <w:noWrap/>
          </w:tcPr>
          <w:p w:rsidR="0056011F" w:rsidRPr="0071552F" w:rsidRDefault="0056011F" w:rsidP="0071552F">
            <w:pPr>
              <w:spacing w:after="0" w:line="240" w:lineRule="auto"/>
              <w:rPr>
                <w:b/>
                <w:bCs/>
              </w:rPr>
            </w:pPr>
            <w:r w:rsidRPr="0071552F">
              <w:rPr>
                <w:b/>
                <w:bCs/>
              </w:rPr>
              <w:t>Information provided by the DES company</w:t>
            </w:r>
          </w:p>
        </w:tc>
      </w:tr>
      <w:tr w:rsidR="0056011F" w:rsidRPr="0071552F" w:rsidTr="00BB385F">
        <w:trPr>
          <w:trHeight w:val="300"/>
        </w:trPr>
        <w:tc>
          <w:tcPr>
            <w:tcW w:w="3227" w:type="dxa"/>
            <w:noWrap/>
          </w:tcPr>
          <w:p w:rsidR="0056011F" w:rsidRPr="0071552F" w:rsidRDefault="0056011F" w:rsidP="0071552F">
            <w:pPr>
              <w:spacing w:after="0" w:line="240" w:lineRule="auto"/>
              <w:rPr>
                <w:b/>
                <w:bCs/>
              </w:rPr>
            </w:pPr>
            <w:r w:rsidRPr="0071552F">
              <w:t>Regarding all data</w:t>
            </w:r>
          </w:p>
        </w:tc>
        <w:tc>
          <w:tcPr>
            <w:tcW w:w="6395" w:type="dxa"/>
            <w:noWrap/>
          </w:tcPr>
          <w:p w:rsidR="0056011F" w:rsidRPr="0071552F" w:rsidRDefault="0056011F" w:rsidP="0071552F">
            <w:pPr>
              <w:spacing w:after="0" w:line="240" w:lineRule="auto"/>
            </w:pPr>
            <w:r w:rsidRPr="0071552F">
              <w:t>Data should be based on one or several periods of 12 months of data that includes at least a portion of the project M&amp;V period.  The provided data from the DES company must not be fully identical to the project M&amp;V period. For example if the DES-company provides data fro</w:t>
            </w:r>
            <w:r w:rsidR="00DD7D26">
              <w:t>m January through December, 2016</w:t>
            </w:r>
            <w:r w:rsidRPr="0071552F">
              <w:t xml:space="preserve">, the project M&amp;V </w:t>
            </w:r>
            <w:r w:rsidR="00DD7D26">
              <w:t>period may be for September 2015</w:t>
            </w:r>
            <w:r w:rsidRPr="0071552F">
              <w:t xml:space="preserve"> through September 201</w:t>
            </w:r>
            <w:r w:rsidR="00DD7D26">
              <w:t>6</w:t>
            </w:r>
            <w:r w:rsidRPr="0071552F">
              <w:t>.</w:t>
            </w:r>
          </w:p>
        </w:tc>
      </w:tr>
      <w:tr w:rsidR="0056011F" w:rsidRPr="0071552F" w:rsidTr="00BB385F">
        <w:trPr>
          <w:trHeight w:val="175"/>
        </w:trPr>
        <w:tc>
          <w:tcPr>
            <w:tcW w:w="3227" w:type="dxa"/>
            <w:vMerge w:val="restart"/>
          </w:tcPr>
          <w:p w:rsidR="0056011F" w:rsidRPr="0071552F" w:rsidRDefault="0056011F" w:rsidP="0071552F">
            <w:pPr>
              <w:spacing w:after="0" w:line="240" w:lineRule="auto"/>
            </w:pPr>
            <w:r w:rsidRPr="0071552F">
              <w:t>Information about the measured amount of energy delivered to the building from the DES has to be given to the LEED seeking project</w:t>
            </w:r>
          </w:p>
        </w:tc>
        <w:tc>
          <w:tcPr>
            <w:tcW w:w="6395" w:type="dxa"/>
          </w:tcPr>
          <w:p w:rsidR="0056011F" w:rsidRPr="0071552F" w:rsidRDefault="0056011F" w:rsidP="0071552F">
            <w:pPr>
              <w:spacing w:line="240" w:lineRule="auto"/>
            </w:pPr>
            <w:r w:rsidRPr="0071552F">
              <w:t>1) Heat delivered [MWh/year]</w:t>
            </w:r>
          </w:p>
        </w:tc>
      </w:tr>
      <w:tr w:rsidR="0056011F" w:rsidRPr="00BC3E87" w:rsidTr="00BB385F">
        <w:trPr>
          <w:trHeight w:val="1489"/>
        </w:trPr>
        <w:tc>
          <w:tcPr>
            <w:tcW w:w="3227" w:type="dxa"/>
            <w:vMerge/>
          </w:tcPr>
          <w:p w:rsidR="0056011F" w:rsidRPr="0071552F" w:rsidRDefault="0056011F" w:rsidP="0071552F">
            <w:pPr>
              <w:spacing w:after="0" w:line="240" w:lineRule="auto"/>
            </w:pPr>
          </w:p>
        </w:tc>
        <w:tc>
          <w:tcPr>
            <w:tcW w:w="6395" w:type="dxa"/>
          </w:tcPr>
          <w:p w:rsidR="0056011F" w:rsidRPr="00BB385F" w:rsidRDefault="003C7792" w:rsidP="0071552F">
            <w:pPr>
              <w:spacing w:after="0" w:line="240" w:lineRule="auto"/>
              <w:rPr>
                <w:b/>
                <w:lang w:val="sv-SE"/>
              </w:rPr>
            </w:pPr>
            <w:r>
              <w:rPr>
                <w:b/>
                <w:lang w:val="sv-SE"/>
              </w:rPr>
              <w:t>Fylls i av kund</w:t>
            </w:r>
          </w:p>
          <w:p w:rsidR="0056011F" w:rsidRPr="0071670D" w:rsidRDefault="0056011F" w:rsidP="0071552F">
            <w:pPr>
              <w:spacing w:after="0" w:line="240" w:lineRule="auto"/>
              <w:rPr>
                <w:b/>
                <w:color w:val="FF0000"/>
                <w:lang w:val="sv-SE"/>
              </w:rPr>
            </w:pPr>
            <w:r w:rsidRPr="0071670D">
              <w:rPr>
                <w:b/>
                <w:color w:val="FF0000"/>
                <w:lang w:val="sv-SE"/>
              </w:rPr>
              <w:t xml:space="preserve">Lev. Fjärrvärme: </w:t>
            </w:r>
            <w:r w:rsidR="00BC3E87">
              <w:rPr>
                <w:b/>
                <w:color w:val="FF0000"/>
                <w:lang w:val="sv-SE"/>
              </w:rPr>
              <w:t xml:space="preserve">               </w:t>
            </w:r>
            <w:r w:rsidRPr="0071670D">
              <w:rPr>
                <w:b/>
                <w:color w:val="FF0000"/>
                <w:lang w:val="sv-SE"/>
              </w:rPr>
              <w:t>MWh</w:t>
            </w:r>
          </w:p>
          <w:p w:rsidR="0056011F" w:rsidRPr="0071670D" w:rsidRDefault="0056011F" w:rsidP="0071552F">
            <w:pPr>
              <w:spacing w:after="0" w:line="240" w:lineRule="auto"/>
              <w:rPr>
                <w:b/>
                <w:color w:val="FF0000"/>
                <w:lang w:val="sv-SE"/>
              </w:rPr>
            </w:pPr>
            <w:r w:rsidRPr="0071670D">
              <w:rPr>
                <w:b/>
                <w:color w:val="FF0000"/>
                <w:lang w:val="sv-SE"/>
              </w:rPr>
              <w:t xml:space="preserve">Lev Fjärrkyla: </w:t>
            </w:r>
            <w:r w:rsidR="00BC3E87">
              <w:rPr>
                <w:b/>
                <w:color w:val="FF0000"/>
                <w:lang w:val="sv-SE"/>
              </w:rPr>
              <w:t xml:space="preserve">                    </w:t>
            </w:r>
            <w:r w:rsidRPr="0071670D">
              <w:rPr>
                <w:b/>
                <w:color w:val="FF0000"/>
                <w:lang w:val="sv-SE"/>
              </w:rPr>
              <w:t>MWh</w:t>
            </w:r>
          </w:p>
          <w:p w:rsidR="0056011F" w:rsidRPr="0071552F" w:rsidRDefault="0056011F" w:rsidP="0071552F">
            <w:pPr>
              <w:spacing w:after="0" w:line="240" w:lineRule="auto"/>
              <w:rPr>
                <w:b/>
                <w:u w:val="single"/>
                <w:lang w:val="sv-SE"/>
              </w:rPr>
            </w:pPr>
          </w:p>
        </w:tc>
      </w:tr>
      <w:tr w:rsidR="0056011F" w:rsidRPr="0071552F" w:rsidTr="00BB385F">
        <w:trPr>
          <w:trHeight w:val="331"/>
        </w:trPr>
        <w:tc>
          <w:tcPr>
            <w:tcW w:w="3227" w:type="dxa"/>
            <w:vMerge w:val="restart"/>
          </w:tcPr>
          <w:p w:rsidR="0056011F" w:rsidRPr="0071552F" w:rsidRDefault="0056011F" w:rsidP="0071552F">
            <w:pPr>
              <w:spacing w:after="0" w:line="240" w:lineRule="auto"/>
            </w:pPr>
            <w:r w:rsidRPr="00BB385F">
              <w:rPr>
                <w:lang w:val="en-GB"/>
              </w:rPr>
              <w:t xml:space="preserve">Amount (in energy terms) and type of fuel used for </w:t>
            </w:r>
            <w:r w:rsidRPr="0071552F">
              <w:t>heat production in heat only boilers (HOB).</w:t>
            </w:r>
          </w:p>
        </w:tc>
        <w:tc>
          <w:tcPr>
            <w:tcW w:w="6395" w:type="dxa"/>
          </w:tcPr>
          <w:p w:rsidR="0056011F" w:rsidRPr="0071552F" w:rsidRDefault="0056011F" w:rsidP="0071552F">
            <w:pPr>
              <w:spacing w:after="0" w:line="240" w:lineRule="auto"/>
            </w:pPr>
            <w:r w:rsidRPr="0071552F">
              <w:t>1) Fuel i</w:t>
            </w:r>
            <w:r w:rsidRPr="0071552F">
              <w:rPr>
                <w:vertAlign w:val="subscript"/>
              </w:rPr>
              <w:t>n</w:t>
            </w:r>
            <w:r w:rsidRPr="0071552F">
              <w:t xml:space="preserve"> (all fuels) [MWh/year]</w:t>
            </w:r>
          </w:p>
        </w:tc>
      </w:tr>
      <w:tr w:rsidR="0056011F" w:rsidRPr="0071552F" w:rsidTr="00BB385F">
        <w:trPr>
          <w:trHeight w:val="1590"/>
        </w:trPr>
        <w:tc>
          <w:tcPr>
            <w:tcW w:w="3227" w:type="dxa"/>
            <w:vMerge/>
          </w:tcPr>
          <w:p w:rsidR="0056011F" w:rsidRPr="0071552F" w:rsidRDefault="0056011F" w:rsidP="0071552F">
            <w:pPr>
              <w:spacing w:after="0" w:line="240" w:lineRule="auto"/>
            </w:pPr>
          </w:p>
        </w:tc>
        <w:tc>
          <w:tcPr>
            <w:tcW w:w="6395" w:type="dxa"/>
          </w:tcPr>
          <w:tbl>
            <w:tblPr>
              <w:tblW w:w="363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71"/>
              <w:gridCol w:w="2060"/>
            </w:tblGrid>
            <w:tr w:rsidR="00C6361A" w:rsidRPr="00C6361A" w:rsidTr="00C6361A">
              <w:trPr>
                <w:trHeight w:val="255"/>
              </w:trPr>
              <w:tc>
                <w:tcPr>
                  <w:tcW w:w="1571" w:type="dxa"/>
                  <w:tcBorders>
                    <w:top w:val="single" w:sz="8" w:space="0" w:color="DCDCDC"/>
                    <w:left w:val="single" w:sz="4" w:space="0" w:color="DCDCDC"/>
                    <w:bottom w:val="single" w:sz="4" w:space="0" w:color="DCDCDC"/>
                    <w:right w:val="single" w:sz="8" w:space="0" w:color="DCDCDC"/>
                  </w:tcBorders>
                  <w:shd w:val="clear" w:color="000000" w:fill="F5F5F5"/>
                  <w:noWrap/>
                  <w:vAlign w:val="bottom"/>
                  <w:hideMark/>
                </w:tcPr>
                <w:p w:rsidR="00C6361A" w:rsidRPr="00C6361A" w:rsidRDefault="00C6361A" w:rsidP="00C6361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6"/>
                      <w:szCs w:val="16"/>
                      <w:lang w:val="sv-SE" w:eastAsia="sv-SE"/>
                    </w:rPr>
                  </w:pPr>
                  <w:r w:rsidRPr="00C6361A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6"/>
                      <w:szCs w:val="16"/>
                      <w:lang w:val="sv-SE" w:eastAsia="sv-SE"/>
                    </w:rPr>
                    <w:t>Bränsletyp</w:t>
                  </w:r>
                </w:p>
              </w:tc>
              <w:tc>
                <w:tcPr>
                  <w:tcW w:w="2060" w:type="dxa"/>
                  <w:tcBorders>
                    <w:top w:val="single" w:sz="4" w:space="0" w:color="DCDCDC"/>
                    <w:left w:val="single" w:sz="4" w:space="0" w:color="DCDCDC"/>
                    <w:bottom w:val="single" w:sz="4" w:space="0" w:color="DCDCDC"/>
                    <w:right w:val="single" w:sz="4" w:space="0" w:color="DCDCDC"/>
                  </w:tcBorders>
                  <w:shd w:val="clear" w:color="000000" w:fill="FFFFFF"/>
                  <w:noWrap/>
                  <w:vAlign w:val="bottom"/>
                  <w:hideMark/>
                </w:tcPr>
                <w:p w:rsidR="00C6361A" w:rsidRPr="00C6361A" w:rsidRDefault="00C6361A" w:rsidP="00C6361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val="sv-SE" w:eastAsia="sv-SE"/>
                    </w:rPr>
                  </w:pPr>
                  <w:r w:rsidRPr="00C6361A"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val="sv-SE" w:eastAsia="sv-SE"/>
                    </w:rPr>
                    <w:t xml:space="preserve">Tillfört </w:t>
                  </w:r>
                  <w:r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val="sv-SE" w:eastAsia="sv-SE"/>
                    </w:rPr>
                    <w:t xml:space="preserve">2016 </w:t>
                  </w:r>
                  <w:r w:rsidRPr="00C6361A"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val="sv-SE" w:eastAsia="sv-SE"/>
                    </w:rPr>
                    <w:t>MWh</w:t>
                  </w:r>
                </w:p>
              </w:tc>
            </w:tr>
            <w:tr w:rsidR="00C6361A" w:rsidRPr="00C6361A" w:rsidTr="00C6361A">
              <w:trPr>
                <w:trHeight w:val="255"/>
              </w:trPr>
              <w:tc>
                <w:tcPr>
                  <w:tcW w:w="1571" w:type="dxa"/>
                  <w:tcBorders>
                    <w:top w:val="nil"/>
                    <w:left w:val="single" w:sz="4" w:space="0" w:color="DCDCDC"/>
                    <w:bottom w:val="single" w:sz="4" w:space="0" w:color="DCDCDC"/>
                    <w:right w:val="single" w:sz="4" w:space="0" w:color="DCDCDC"/>
                  </w:tcBorders>
                  <w:shd w:val="clear" w:color="000000" w:fill="FFFFFF"/>
                  <w:noWrap/>
                  <w:vAlign w:val="bottom"/>
                  <w:hideMark/>
                </w:tcPr>
                <w:p w:rsidR="00C6361A" w:rsidRPr="00C6361A" w:rsidRDefault="00C6361A" w:rsidP="00C6361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val="sv-SE" w:eastAsia="sv-SE"/>
                    </w:rPr>
                  </w:pPr>
                  <w:proofErr w:type="spellStart"/>
                  <w:r w:rsidRPr="00C6361A"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val="sv-SE" w:eastAsia="sv-SE"/>
                    </w:rPr>
                    <w:t>Bioolja</w:t>
                  </w:r>
                  <w:proofErr w:type="spellEnd"/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DCDCDC"/>
                    <w:right w:val="single" w:sz="4" w:space="0" w:color="DCDCDC"/>
                  </w:tcBorders>
                  <w:shd w:val="clear" w:color="000000" w:fill="FFFFFF"/>
                  <w:noWrap/>
                  <w:vAlign w:val="bottom"/>
                  <w:hideMark/>
                </w:tcPr>
                <w:p w:rsidR="00C6361A" w:rsidRPr="00C6361A" w:rsidRDefault="00C6361A" w:rsidP="00C6361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val="sv-SE" w:eastAsia="sv-SE"/>
                    </w:rPr>
                  </w:pPr>
                  <w:r w:rsidRPr="00C6361A"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val="sv-SE" w:eastAsia="sv-SE"/>
                    </w:rPr>
                    <w:t>481 672</w:t>
                  </w:r>
                </w:p>
              </w:tc>
            </w:tr>
            <w:tr w:rsidR="00C6361A" w:rsidRPr="00C6361A" w:rsidTr="00C6361A">
              <w:trPr>
                <w:trHeight w:val="255"/>
              </w:trPr>
              <w:tc>
                <w:tcPr>
                  <w:tcW w:w="1571" w:type="dxa"/>
                  <w:tcBorders>
                    <w:top w:val="nil"/>
                    <w:left w:val="single" w:sz="4" w:space="0" w:color="DCDCDC"/>
                    <w:bottom w:val="single" w:sz="4" w:space="0" w:color="DCDCDC"/>
                    <w:right w:val="single" w:sz="4" w:space="0" w:color="DCDCDC"/>
                  </w:tcBorders>
                  <w:shd w:val="clear" w:color="000000" w:fill="FFFFFF"/>
                  <w:noWrap/>
                  <w:vAlign w:val="bottom"/>
                  <w:hideMark/>
                </w:tcPr>
                <w:p w:rsidR="00C6361A" w:rsidRPr="00C6361A" w:rsidRDefault="00C6361A" w:rsidP="00C6361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val="sv-SE" w:eastAsia="sv-SE"/>
                    </w:rPr>
                  </w:pPr>
                  <w:r w:rsidRPr="00C6361A"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val="sv-SE" w:eastAsia="sv-SE"/>
                    </w:rPr>
                    <w:t>El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DCDCDC"/>
                    <w:right w:val="single" w:sz="4" w:space="0" w:color="DCDCDC"/>
                  </w:tcBorders>
                  <w:shd w:val="clear" w:color="000000" w:fill="FFFFFF"/>
                  <w:noWrap/>
                  <w:vAlign w:val="bottom"/>
                  <w:hideMark/>
                </w:tcPr>
                <w:p w:rsidR="00C6361A" w:rsidRPr="00C6361A" w:rsidRDefault="00C6361A" w:rsidP="00C6361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val="sv-SE" w:eastAsia="sv-SE"/>
                    </w:rPr>
                  </w:pPr>
                  <w:r w:rsidRPr="00C6361A"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val="sv-SE" w:eastAsia="sv-SE"/>
                    </w:rPr>
                    <w:t>753 207</w:t>
                  </w:r>
                </w:p>
              </w:tc>
            </w:tr>
            <w:tr w:rsidR="00C6361A" w:rsidRPr="00C6361A" w:rsidTr="00C6361A">
              <w:trPr>
                <w:trHeight w:val="255"/>
              </w:trPr>
              <w:tc>
                <w:tcPr>
                  <w:tcW w:w="1571" w:type="dxa"/>
                  <w:tcBorders>
                    <w:top w:val="nil"/>
                    <w:left w:val="single" w:sz="4" w:space="0" w:color="DCDCDC"/>
                    <w:bottom w:val="single" w:sz="4" w:space="0" w:color="DCDCDC"/>
                    <w:right w:val="single" w:sz="4" w:space="0" w:color="DCDCDC"/>
                  </w:tcBorders>
                  <w:shd w:val="clear" w:color="000000" w:fill="FFFFFF"/>
                  <w:noWrap/>
                  <w:vAlign w:val="bottom"/>
                  <w:hideMark/>
                </w:tcPr>
                <w:p w:rsidR="00C6361A" w:rsidRPr="00C6361A" w:rsidRDefault="00C6361A" w:rsidP="00C6361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val="sv-SE" w:eastAsia="sv-SE"/>
                    </w:rPr>
                  </w:pPr>
                  <w:r w:rsidRPr="00C6361A"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val="sv-SE" w:eastAsia="sv-SE"/>
                    </w:rPr>
                    <w:t>Fossilolja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DCDCDC"/>
                    <w:right w:val="single" w:sz="4" w:space="0" w:color="DCDCDC"/>
                  </w:tcBorders>
                  <w:shd w:val="clear" w:color="000000" w:fill="FFFFFF"/>
                  <w:noWrap/>
                  <w:vAlign w:val="bottom"/>
                  <w:hideMark/>
                </w:tcPr>
                <w:p w:rsidR="00C6361A" w:rsidRPr="00C6361A" w:rsidRDefault="00C6361A" w:rsidP="00C6361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val="sv-SE" w:eastAsia="sv-SE"/>
                    </w:rPr>
                  </w:pPr>
                  <w:r w:rsidRPr="00C6361A"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val="sv-SE" w:eastAsia="sv-SE"/>
                    </w:rPr>
                    <w:t>78 073</w:t>
                  </w:r>
                </w:p>
              </w:tc>
            </w:tr>
            <w:tr w:rsidR="00C6361A" w:rsidRPr="00C6361A" w:rsidTr="00C6361A">
              <w:trPr>
                <w:trHeight w:val="255"/>
              </w:trPr>
              <w:tc>
                <w:tcPr>
                  <w:tcW w:w="1571" w:type="dxa"/>
                  <w:tcBorders>
                    <w:top w:val="nil"/>
                    <w:left w:val="single" w:sz="4" w:space="0" w:color="DCDCDC"/>
                    <w:bottom w:val="single" w:sz="4" w:space="0" w:color="DCDCDC"/>
                    <w:right w:val="single" w:sz="4" w:space="0" w:color="DCDCDC"/>
                  </w:tcBorders>
                  <w:shd w:val="clear" w:color="000000" w:fill="FFFFFF"/>
                  <w:noWrap/>
                  <w:vAlign w:val="bottom"/>
                  <w:hideMark/>
                </w:tcPr>
                <w:p w:rsidR="00C6361A" w:rsidRPr="00C6361A" w:rsidRDefault="00C6361A" w:rsidP="00C6361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val="sv-SE" w:eastAsia="sv-SE"/>
                    </w:rPr>
                  </w:pPr>
                  <w:r w:rsidRPr="00C6361A"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val="sv-SE" w:eastAsia="sv-SE"/>
                    </w:rPr>
                    <w:t>Förädlat Trädbränsle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DCDCDC"/>
                    <w:right w:val="single" w:sz="4" w:space="0" w:color="DCDCDC"/>
                  </w:tcBorders>
                  <w:shd w:val="clear" w:color="000000" w:fill="FFFFFF"/>
                  <w:noWrap/>
                  <w:vAlign w:val="bottom"/>
                  <w:hideMark/>
                </w:tcPr>
                <w:p w:rsidR="00C6361A" w:rsidRPr="00C6361A" w:rsidRDefault="00C6361A" w:rsidP="00C6361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val="sv-SE" w:eastAsia="sv-SE"/>
                    </w:rPr>
                  </w:pPr>
                  <w:r w:rsidRPr="00C6361A"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val="sv-SE" w:eastAsia="sv-SE"/>
                    </w:rPr>
                    <w:t>12 785</w:t>
                  </w:r>
                </w:p>
              </w:tc>
            </w:tr>
            <w:tr w:rsidR="00C6361A" w:rsidRPr="00C6361A" w:rsidTr="00C6361A">
              <w:trPr>
                <w:trHeight w:val="255"/>
              </w:trPr>
              <w:tc>
                <w:tcPr>
                  <w:tcW w:w="1571" w:type="dxa"/>
                  <w:tcBorders>
                    <w:top w:val="nil"/>
                    <w:left w:val="single" w:sz="4" w:space="0" w:color="DCDCDC"/>
                    <w:bottom w:val="single" w:sz="4" w:space="0" w:color="DCDCDC"/>
                    <w:right w:val="single" w:sz="4" w:space="0" w:color="DCDCDC"/>
                  </w:tcBorders>
                  <w:shd w:val="clear" w:color="000000" w:fill="FFFFFF"/>
                  <w:noWrap/>
                  <w:vAlign w:val="bottom"/>
                  <w:hideMark/>
                </w:tcPr>
                <w:p w:rsidR="00C6361A" w:rsidRPr="00C6361A" w:rsidRDefault="00C6361A" w:rsidP="00C6361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val="sv-SE" w:eastAsia="sv-SE"/>
                    </w:rPr>
                  </w:pPr>
                  <w:r w:rsidRPr="00C6361A"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val="sv-SE" w:eastAsia="sv-SE"/>
                    </w:rPr>
                    <w:t>Kol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DCDCDC"/>
                    <w:right w:val="single" w:sz="4" w:space="0" w:color="DCDCDC"/>
                  </w:tcBorders>
                  <w:shd w:val="clear" w:color="000000" w:fill="FFFFFF"/>
                  <w:noWrap/>
                  <w:vAlign w:val="bottom"/>
                  <w:hideMark/>
                </w:tcPr>
                <w:p w:rsidR="00C6361A" w:rsidRPr="00C6361A" w:rsidRDefault="00C6361A" w:rsidP="00C6361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val="sv-SE" w:eastAsia="sv-SE"/>
                    </w:rPr>
                  </w:pPr>
                  <w:r w:rsidRPr="00C6361A"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val="sv-SE" w:eastAsia="sv-SE"/>
                    </w:rPr>
                    <w:t>47 201</w:t>
                  </w:r>
                </w:p>
              </w:tc>
            </w:tr>
            <w:tr w:rsidR="00C6361A" w:rsidRPr="00C6361A" w:rsidTr="00C6361A">
              <w:trPr>
                <w:trHeight w:val="255"/>
              </w:trPr>
              <w:tc>
                <w:tcPr>
                  <w:tcW w:w="1571" w:type="dxa"/>
                  <w:tcBorders>
                    <w:top w:val="nil"/>
                    <w:left w:val="single" w:sz="4" w:space="0" w:color="DCDCDC"/>
                    <w:bottom w:val="single" w:sz="4" w:space="0" w:color="DCDCDC"/>
                    <w:right w:val="single" w:sz="4" w:space="0" w:color="DCDCDC"/>
                  </w:tcBorders>
                  <w:shd w:val="clear" w:color="000000" w:fill="FFFFFF"/>
                  <w:noWrap/>
                  <w:vAlign w:val="bottom"/>
                  <w:hideMark/>
                </w:tcPr>
                <w:p w:rsidR="00C6361A" w:rsidRPr="00C6361A" w:rsidRDefault="00C6361A" w:rsidP="00C6361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val="sv-SE" w:eastAsia="sv-SE"/>
                    </w:rPr>
                  </w:pPr>
                  <w:r w:rsidRPr="00C6361A"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val="sv-SE" w:eastAsia="sv-SE"/>
                    </w:rPr>
                    <w:t>Oförädlat Trädbränsle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DCDCDC"/>
                    <w:right w:val="single" w:sz="4" w:space="0" w:color="DCDCDC"/>
                  </w:tcBorders>
                  <w:shd w:val="clear" w:color="000000" w:fill="FFFFFF"/>
                  <w:noWrap/>
                  <w:vAlign w:val="bottom"/>
                  <w:hideMark/>
                </w:tcPr>
                <w:p w:rsidR="00C6361A" w:rsidRPr="00C6361A" w:rsidRDefault="00C6361A" w:rsidP="00C6361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val="sv-SE" w:eastAsia="sv-SE"/>
                    </w:rPr>
                  </w:pPr>
                  <w:r w:rsidRPr="00C6361A"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val="sv-SE" w:eastAsia="sv-SE"/>
                    </w:rPr>
                    <w:t>896 462</w:t>
                  </w:r>
                </w:p>
              </w:tc>
            </w:tr>
            <w:tr w:rsidR="00C6361A" w:rsidRPr="00C6361A" w:rsidTr="00C6361A">
              <w:trPr>
                <w:trHeight w:val="255"/>
              </w:trPr>
              <w:tc>
                <w:tcPr>
                  <w:tcW w:w="1571" w:type="dxa"/>
                  <w:tcBorders>
                    <w:top w:val="nil"/>
                    <w:left w:val="single" w:sz="4" w:space="0" w:color="DCDCDC"/>
                    <w:bottom w:val="single" w:sz="4" w:space="0" w:color="DCDCDC"/>
                    <w:right w:val="single" w:sz="4" w:space="0" w:color="DCDCDC"/>
                  </w:tcBorders>
                  <w:shd w:val="clear" w:color="000000" w:fill="FFFFFF"/>
                  <w:noWrap/>
                  <w:vAlign w:val="bottom"/>
                  <w:hideMark/>
                </w:tcPr>
                <w:p w:rsidR="00C6361A" w:rsidRPr="00C6361A" w:rsidRDefault="00C6361A" w:rsidP="00C6361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val="sv-SE" w:eastAsia="sv-SE"/>
                    </w:rPr>
                  </w:pPr>
                  <w:r w:rsidRPr="00C6361A"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val="sv-SE" w:eastAsia="sv-SE"/>
                    </w:rPr>
                    <w:t>Övriga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DCDCDC"/>
                    <w:right w:val="single" w:sz="4" w:space="0" w:color="DCDCDC"/>
                  </w:tcBorders>
                  <w:shd w:val="clear" w:color="000000" w:fill="FFFFFF"/>
                  <w:noWrap/>
                  <w:vAlign w:val="bottom"/>
                  <w:hideMark/>
                </w:tcPr>
                <w:p w:rsidR="00C6361A" w:rsidRPr="00C6361A" w:rsidRDefault="00C6361A" w:rsidP="00C6361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val="sv-SE" w:eastAsia="sv-SE"/>
                    </w:rPr>
                  </w:pPr>
                  <w:r w:rsidRPr="00C6361A"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val="sv-SE" w:eastAsia="sv-SE"/>
                    </w:rPr>
                    <w:t>1 230 894</w:t>
                  </w:r>
                </w:p>
              </w:tc>
            </w:tr>
          </w:tbl>
          <w:p w:rsidR="0056011F" w:rsidRDefault="0056011F" w:rsidP="0071552F">
            <w:pPr>
              <w:spacing w:after="0" w:line="240" w:lineRule="auto"/>
              <w:rPr>
                <w:lang w:val="sv-SE"/>
              </w:rPr>
            </w:pPr>
          </w:p>
          <w:p w:rsidR="00C6361A" w:rsidRPr="0071552F" w:rsidRDefault="00C6361A" w:rsidP="0071552F">
            <w:pPr>
              <w:spacing w:after="0" w:line="240" w:lineRule="auto"/>
              <w:rPr>
                <w:lang w:val="sv-SE"/>
              </w:rPr>
            </w:pPr>
          </w:p>
        </w:tc>
      </w:tr>
      <w:tr w:rsidR="0056011F" w:rsidRPr="0071552F" w:rsidTr="00BB385F">
        <w:trPr>
          <w:trHeight w:val="379"/>
        </w:trPr>
        <w:tc>
          <w:tcPr>
            <w:tcW w:w="3227" w:type="dxa"/>
            <w:vMerge w:val="restart"/>
          </w:tcPr>
          <w:p w:rsidR="0056011F" w:rsidRPr="0071552F" w:rsidRDefault="0056011F" w:rsidP="0071552F">
            <w:pPr>
              <w:spacing w:after="0" w:line="240" w:lineRule="auto"/>
            </w:pPr>
            <w:r w:rsidRPr="0071552F">
              <w:t>Amount (in energy terms) and type of fuel used in each combined heat and power (CHP) plant in the DES.</w:t>
            </w:r>
          </w:p>
        </w:tc>
        <w:tc>
          <w:tcPr>
            <w:tcW w:w="6395" w:type="dxa"/>
          </w:tcPr>
          <w:p w:rsidR="0056011F" w:rsidRPr="0071552F" w:rsidRDefault="0056011F" w:rsidP="0071552F">
            <w:pPr>
              <w:spacing w:after="0" w:line="240" w:lineRule="auto"/>
            </w:pPr>
            <w:r w:rsidRPr="0071552F">
              <w:t>1) Fuel i</w:t>
            </w:r>
            <w:r w:rsidRPr="0071552F">
              <w:rPr>
                <w:vertAlign w:val="subscript"/>
              </w:rPr>
              <w:t>n</w:t>
            </w:r>
            <w:r w:rsidRPr="0071552F">
              <w:t xml:space="preserve"> (all fuels) [MWh/year]</w:t>
            </w:r>
          </w:p>
        </w:tc>
      </w:tr>
      <w:tr w:rsidR="0056011F" w:rsidRPr="0071552F" w:rsidTr="00BB385F">
        <w:trPr>
          <w:trHeight w:val="1722"/>
        </w:trPr>
        <w:tc>
          <w:tcPr>
            <w:tcW w:w="3227" w:type="dxa"/>
            <w:vMerge/>
          </w:tcPr>
          <w:p w:rsidR="0056011F" w:rsidRPr="0071552F" w:rsidRDefault="0056011F" w:rsidP="0071552F">
            <w:pPr>
              <w:spacing w:after="0" w:line="240" w:lineRule="auto"/>
            </w:pPr>
          </w:p>
        </w:tc>
        <w:tc>
          <w:tcPr>
            <w:tcW w:w="6395" w:type="dxa"/>
          </w:tcPr>
          <w:tbl>
            <w:tblPr>
              <w:tblW w:w="363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71"/>
              <w:gridCol w:w="2060"/>
            </w:tblGrid>
            <w:tr w:rsidR="00C6361A" w:rsidRPr="00BE08B3" w:rsidTr="00440267">
              <w:trPr>
                <w:trHeight w:val="255"/>
              </w:trPr>
              <w:tc>
                <w:tcPr>
                  <w:tcW w:w="1571" w:type="dxa"/>
                  <w:tcBorders>
                    <w:top w:val="single" w:sz="8" w:space="0" w:color="DCDCDC"/>
                    <w:left w:val="single" w:sz="4" w:space="0" w:color="DCDCDC"/>
                    <w:bottom w:val="single" w:sz="4" w:space="0" w:color="DCDCDC"/>
                    <w:right w:val="single" w:sz="8" w:space="0" w:color="DCDCDC"/>
                  </w:tcBorders>
                  <w:shd w:val="clear" w:color="000000" w:fill="F5F5F5"/>
                  <w:noWrap/>
                  <w:vAlign w:val="bottom"/>
                  <w:hideMark/>
                </w:tcPr>
                <w:p w:rsidR="00C6361A" w:rsidRPr="00BE08B3" w:rsidRDefault="00C6361A" w:rsidP="00C6361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6"/>
                      <w:szCs w:val="16"/>
                      <w:lang w:val="sv-SE" w:eastAsia="sv-SE"/>
                    </w:rPr>
                  </w:pPr>
                  <w:r w:rsidRPr="00BE08B3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6"/>
                      <w:szCs w:val="16"/>
                      <w:lang w:val="sv-SE" w:eastAsia="sv-SE"/>
                    </w:rPr>
                    <w:t>Bränsletyp</w:t>
                  </w:r>
                </w:p>
              </w:tc>
              <w:tc>
                <w:tcPr>
                  <w:tcW w:w="2060" w:type="dxa"/>
                  <w:tcBorders>
                    <w:top w:val="single" w:sz="4" w:space="0" w:color="DCDCDC"/>
                    <w:left w:val="single" w:sz="4" w:space="0" w:color="DCDCDC"/>
                    <w:bottom w:val="single" w:sz="4" w:space="0" w:color="DCDCDC"/>
                    <w:right w:val="single" w:sz="4" w:space="0" w:color="DCDCDC"/>
                  </w:tcBorders>
                  <w:shd w:val="clear" w:color="000000" w:fill="FFFFFF"/>
                  <w:noWrap/>
                  <w:vAlign w:val="bottom"/>
                  <w:hideMark/>
                </w:tcPr>
                <w:p w:rsidR="00C6361A" w:rsidRPr="00BE08B3" w:rsidRDefault="00C6361A" w:rsidP="00C6361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val="sv-SE" w:eastAsia="sv-SE"/>
                    </w:rPr>
                  </w:pPr>
                  <w:r w:rsidRPr="00BE08B3"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val="sv-SE" w:eastAsia="sv-SE"/>
                    </w:rPr>
                    <w:t xml:space="preserve">Tillfört </w:t>
                  </w:r>
                  <w:r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val="sv-SE" w:eastAsia="sv-SE"/>
                    </w:rPr>
                    <w:t xml:space="preserve">2016 </w:t>
                  </w:r>
                  <w:r w:rsidRPr="00BE08B3"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val="sv-SE" w:eastAsia="sv-SE"/>
                    </w:rPr>
                    <w:t>MWh</w:t>
                  </w:r>
                </w:p>
              </w:tc>
            </w:tr>
            <w:tr w:rsidR="00C6361A" w:rsidRPr="00BE08B3" w:rsidTr="00440267">
              <w:trPr>
                <w:trHeight w:val="255"/>
              </w:trPr>
              <w:tc>
                <w:tcPr>
                  <w:tcW w:w="1571" w:type="dxa"/>
                  <w:tcBorders>
                    <w:top w:val="nil"/>
                    <w:left w:val="single" w:sz="4" w:space="0" w:color="DCDCDC"/>
                    <w:bottom w:val="single" w:sz="4" w:space="0" w:color="DCDCDC"/>
                    <w:right w:val="single" w:sz="4" w:space="0" w:color="DCDCDC"/>
                  </w:tcBorders>
                  <w:shd w:val="clear" w:color="000000" w:fill="FFFFFF"/>
                  <w:noWrap/>
                  <w:vAlign w:val="bottom"/>
                  <w:hideMark/>
                </w:tcPr>
                <w:p w:rsidR="00C6361A" w:rsidRPr="00BE08B3" w:rsidRDefault="00C6361A" w:rsidP="00C6361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val="sv-SE" w:eastAsia="sv-SE"/>
                    </w:rPr>
                  </w:pPr>
                  <w:r w:rsidRPr="00BE08B3"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val="sv-SE" w:eastAsia="sv-SE"/>
                    </w:rPr>
                    <w:t>Avfallsbränsle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DCDCDC"/>
                    <w:right w:val="single" w:sz="4" w:space="0" w:color="DCDCDC"/>
                  </w:tcBorders>
                  <w:shd w:val="clear" w:color="000000" w:fill="FFFFFF"/>
                  <w:noWrap/>
                  <w:vAlign w:val="bottom"/>
                  <w:hideMark/>
                </w:tcPr>
                <w:p w:rsidR="00C6361A" w:rsidRPr="00BE08B3" w:rsidRDefault="00C6361A" w:rsidP="00C6361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val="sv-SE" w:eastAsia="sv-SE"/>
                    </w:rPr>
                  </w:pPr>
                  <w:r w:rsidRPr="00BE08B3"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val="sv-SE" w:eastAsia="sv-SE"/>
                    </w:rPr>
                    <w:t>1 336 251</w:t>
                  </w:r>
                </w:p>
              </w:tc>
            </w:tr>
            <w:tr w:rsidR="00C6361A" w:rsidRPr="00BE08B3" w:rsidTr="00440267">
              <w:trPr>
                <w:trHeight w:val="255"/>
              </w:trPr>
              <w:tc>
                <w:tcPr>
                  <w:tcW w:w="1571" w:type="dxa"/>
                  <w:tcBorders>
                    <w:top w:val="nil"/>
                    <w:left w:val="single" w:sz="4" w:space="0" w:color="DCDCDC"/>
                    <w:bottom w:val="single" w:sz="4" w:space="0" w:color="DCDCDC"/>
                    <w:right w:val="single" w:sz="4" w:space="0" w:color="DCDCDC"/>
                  </w:tcBorders>
                  <w:shd w:val="clear" w:color="000000" w:fill="FFFFFF"/>
                  <w:noWrap/>
                  <w:vAlign w:val="bottom"/>
                  <w:hideMark/>
                </w:tcPr>
                <w:p w:rsidR="00C6361A" w:rsidRPr="00BE08B3" w:rsidRDefault="00C6361A" w:rsidP="00C6361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val="sv-SE" w:eastAsia="sv-SE"/>
                    </w:rPr>
                  </w:pPr>
                  <w:proofErr w:type="spellStart"/>
                  <w:r w:rsidRPr="00BE08B3"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val="sv-SE" w:eastAsia="sv-SE"/>
                    </w:rPr>
                    <w:t>Bioolja</w:t>
                  </w:r>
                  <w:proofErr w:type="spellEnd"/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DCDCDC"/>
                    <w:right w:val="single" w:sz="4" w:space="0" w:color="DCDCDC"/>
                  </w:tcBorders>
                  <w:shd w:val="clear" w:color="000000" w:fill="FFFFFF"/>
                  <w:noWrap/>
                  <w:vAlign w:val="bottom"/>
                  <w:hideMark/>
                </w:tcPr>
                <w:p w:rsidR="00C6361A" w:rsidRPr="00BE08B3" w:rsidRDefault="00C6361A" w:rsidP="00C6361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val="sv-SE" w:eastAsia="sv-SE"/>
                    </w:rPr>
                  </w:pPr>
                  <w:r w:rsidRPr="00BE08B3"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val="sv-SE" w:eastAsia="sv-SE"/>
                    </w:rPr>
                    <w:t>11 122</w:t>
                  </w:r>
                </w:p>
              </w:tc>
            </w:tr>
            <w:tr w:rsidR="00C6361A" w:rsidRPr="00BE08B3" w:rsidTr="00440267">
              <w:trPr>
                <w:trHeight w:val="255"/>
              </w:trPr>
              <w:tc>
                <w:tcPr>
                  <w:tcW w:w="1571" w:type="dxa"/>
                  <w:tcBorders>
                    <w:top w:val="nil"/>
                    <w:left w:val="single" w:sz="4" w:space="0" w:color="DCDCDC"/>
                    <w:bottom w:val="single" w:sz="4" w:space="0" w:color="DCDCDC"/>
                    <w:right w:val="single" w:sz="4" w:space="0" w:color="DCDCDC"/>
                  </w:tcBorders>
                  <w:shd w:val="clear" w:color="000000" w:fill="FFFFFF"/>
                  <w:noWrap/>
                  <w:vAlign w:val="bottom"/>
                  <w:hideMark/>
                </w:tcPr>
                <w:p w:rsidR="00C6361A" w:rsidRPr="00BE08B3" w:rsidRDefault="00C6361A" w:rsidP="00C6361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val="sv-SE" w:eastAsia="sv-SE"/>
                    </w:rPr>
                  </w:pPr>
                  <w:r w:rsidRPr="00BE08B3"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val="sv-SE" w:eastAsia="sv-SE"/>
                    </w:rPr>
                    <w:t>El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DCDCDC"/>
                    <w:right w:val="single" w:sz="4" w:space="0" w:color="DCDCDC"/>
                  </w:tcBorders>
                  <w:shd w:val="clear" w:color="000000" w:fill="FFFFFF"/>
                  <w:noWrap/>
                  <w:vAlign w:val="bottom"/>
                  <w:hideMark/>
                </w:tcPr>
                <w:p w:rsidR="00C6361A" w:rsidRPr="00BE08B3" w:rsidRDefault="00C6361A" w:rsidP="00C6361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val="sv-SE" w:eastAsia="sv-SE"/>
                    </w:rPr>
                  </w:pPr>
                  <w:r w:rsidRPr="00BE08B3"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val="sv-SE" w:eastAsia="sv-SE"/>
                    </w:rPr>
                    <w:t>307 644</w:t>
                  </w:r>
                </w:p>
              </w:tc>
            </w:tr>
            <w:tr w:rsidR="00C6361A" w:rsidRPr="00BE08B3" w:rsidTr="00440267">
              <w:trPr>
                <w:trHeight w:val="255"/>
              </w:trPr>
              <w:tc>
                <w:tcPr>
                  <w:tcW w:w="1571" w:type="dxa"/>
                  <w:tcBorders>
                    <w:top w:val="nil"/>
                    <w:left w:val="single" w:sz="4" w:space="0" w:color="DCDCDC"/>
                    <w:bottom w:val="single" w:sz="4" w:space="0" w:color="DCDCDC"/>
                    <w:right w:val="single" w:sz="4" w:space="0" w:color="DCDCDC"/>
                  </w:tcBorders>
                  <w:shd w:val="clear" w:color="000000" w:fill="FFFFFF"/>
                  <w:noWrap/>
                  <w:vAlign w:val="bottom"/>
                  <w:hideMark/>
                </w:tcPr>
                <w:p w:rsidR="00C6361A" w:rsidRPr="00BE08B3" w:rsidRDefault="00C6361A" w:rsidP="00C6361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val="sv-SE" w:eastAsia="sv-SE"/>
                    </w:rPr>
                  </w:pPr>
                  <w:r w:rsidRPr="00BE08B3"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val="sv-SE" w:eastAsia="sv-SE"/>
                    </w:rPr>
                    <w:t>Fossilolja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DCDCDC"/>
                    <w:right w:val="single" w:sz="4" w:space="0" w:color="DCDCDC"/>
                  </w:tcBorders>
                  <w:shd w:val="clear" w:color="000000" w:fill="FFFFFF"/>
                  <w:noWrap/>
                  <w:vAlign w:val="bottom"/>
                  <w:hideMark/>
                </w:tcPr>
                <w:p w:rsidR="00C6361A" w:rsidRPr="00BE08B3" w:rsidRDefault="00C6361A" w:rsidP="00C6361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val="sv-SE" w:eastAsia="sv-SE"/>
                    </w:rPr>
                  </w:pPr>
                  <w:r w:rsidRPr="00BE08B3"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val="sv-SE" w:eastAsia="sv-SE"/>
                    </w:rPr>
                    <w:t>304 231</w:t>
                  </w:r>
                </w:p>
              </w:tc>
            </w:tr>
            <w:tr w:rsidR="00C6361A" w:rsidRPr="00BE08B3" w:rsidTr="00440267">
              <w:trPr>
                <w:trHeight w:val="255"/>
              </w:trPr>
              <w:tc>
                <w:tcPr>
                  <w:tcW w:w="1571" w:type="dxa"/>
                  <w:tcBorders>
                    <w:top w:val="nil"/>
                    <w:left w:val="single" w:sz="4" w:space="0" w:color="DCDCDC"/>
                    <w:bottom w:val="single" w:sz="4" w:space="0" w:color="DCDCDC"/>
                    <w:right w:val="single" w:sz="4" w:space="0" w:color="DCDCDC"/>
                  </w:tcBorders>
                  <w:shd w:val="clear" w:color="000000" w:fill="FFFFFF"/>
                  <w:noWrap/>
                  <w:vAlign w:val="bottom"/>
                  <w:hideMark/>
                </w:tcPr>
                <w:p w:rsidR="00C6361A" w:rsidRPr="00BE08B3" w:rsidRDefault="00C6361A" w:rsidP="00C6361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val="sv-SE" w:eastAsia="sv-SE"/>
                    </w:rPr>
                  </w:pPr>
                  <w:r w:rsidRPr="00BE08B3"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val="sv-SE" w:eastAsia="sv-SE"/>
                    </w:rPr>
                    <w:t>Förädlat Trädbränsle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DCDCDC"/>
                    <w:right w:val="single" w:sz="4" w:space="0" w:color="DCDCDC"/>
                  </w:tcBorders>
                  <w:shd w:val="clear" w:color="000000" w:fill="FFFFFF"/>
                  <w:noWrap/>
                  <w:vAlign w:val="bottom"/>
                  <w:hideMark/>
                </w:tcPr>
                <w:p w:rsidR="00C6361A" w:rsidRPr="00BE08B3" w:rsidRDefault="00C6361A" w:rsidP="00C6361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val="sv-SE" w:eastAsia="sv-SE"/>
                    </w:rPr>
                  </w:pPr>
                  <w:r w:rsidRPr="00BE08B3"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val="sv-SE" w:eastAsia="sv-SE"/>
                    </w:rPr>
                    <w:t>590 011</w:t>
                  </w:r>
                </w:p>
              </w:tc>
            </w:tr>
            <w:tr w:rsidR="00C6361A" w:rsidRPr="00BE08B3" w:rsidTr="00440267">
              <w:trPr>
                <w:trHeight w:val="255"/>
              </w:trPr>
              <w:tc>
                <w:tcPr>
                  <w:tcW w:w="1571" w:type="dxa"/>
                  <w:tcBorders>
                    <w:top w:val="nil"/>
                    <w:left w:val="single" w:sz="4" w:space="0" w:color="DCDCDC"/>
                    <w:bottom w:val="single" w:sz="4" w:space="0" w:color="DCDCDC"/>
                    <w:right w:val="single" w:sz="4" w:space="0" w:color="DCDCDC"/>
                  </w:tcBorders>
                  <w:shd w:val="clear" w:color="000000" w:fill="FFFFFF"/>
                  <w:noWrap/>
                  <w:vAlign w:val="bottom"/>
                  <w:hideMark/>
                </w:tcPr>
                <w:p w:rsidR="00C6361A" w:rsidRPr="00BE08B3" w:rsidRDefault="00C6361A" w:rsidP="00C6361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val="sv-SE" w:eastAsia="sv-SE"/>
                    </w:rPr>
                  </w:pPr>
                  <w:r w:rsidRPr="00BE08B3"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val="sv-SE" w:eastAsia="sv-SE"/>
                    </w:rPr>
                    <w:t>Kol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DCDCDC"/>
                    <w:right w:val="single" w:sz="4" w:space="0" w:color="DCDCDC"/>
                  </w:tcBorders>
                  <w:shd w:val="clear" w:color="000000" w:fill="FFFFFF"/>
                  <w:noWrap/>
                  <w:vAlign w:val="bottom"/>
                  <w:hideMark/>
                </w:tcPr>
                <w:p w:rsidR="00C6361A" w:rsidRPr="00BE08B3" w:rsidRDefault="00C6361A" w:rsidP="00C6361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val="sv-SE" w:eastAsia="sv-SE"/>
                    </w:rPr>
                  </w:pPr>
                  <w:r w:rsidRPr="00BE08B3"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val="sv-SE" w:eastAsia="sv-SE"/>
                    </w:rPr>
                    <w:t>944 921</w:t>
                  </w:r>
                </w:p>
              </w:tc>
            </w:tr>
            <w:tr w:rsidR="00C6361A" w:rsidRPr="00BE08B3" w:rsidTr="00440267">
              <w:trPr>
                <w:trHeight w:val="255"/>
              </w:trPr>
              <w:tc>
                <w:tcPr>
                  <w:tcW w:w="1571" w:type="dxa"/>
                  <w:tcBorders>
                    <w:top w:val="nil"/>
                    <w:left w:val="single" w:sz="4" w:space="0" w:color="DCDCDC"/>
                    <w:bottom w:val="single" w:sz="4" w:space="0" w:color="DCDCDC"/>
                    <w:right w:val="single" w:sz="4" w:space="0" w:color="DCDCDC"/>
                  </w:tcBorders>
                  <w:shd w:val="clear" w:color="000000" w:fill="FFFFFF"/>
                  <w:noWrap/>
                  <w:vAlign w:val="bottom"/>
                  <w:hideMark/>
                </w:tcPr>
                <w:p w:rsidR="00C6361A" w:rsidRPr="00BE08B3" w:rsidRDefault="00C6361A" w:rsidP="00C6361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val="sv-SE" w:eastAsia="sv-SE"/>
                    </w:rPr>
                  </w:pPr>
                  <w:r w:rsidRPr="00BE08B3"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val="sv-SE" w:eastAsia="sv-SE"/>
                    </w:rPr>
                    <w:t>Oförädlat Trädbränsle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DCDCDC"/>
                    <w:right w:val="single" w:sz="4" w:space="0" w:color="DCDCDC"/>
                  </w:tcBorders>
                  <w:shd w:val="clear" w:color="000000" w:fill="FFFFFF"/>
                  <w:noWrap/>
                  <w:vAlign w:val="bottom"/>
                  <w:hideMark/>
                </w:tcPr>
                <w:p w:rsidR="00C6361A" w:rsidRPr="00BE08B3" w:rsidRDefault="00C6361A" w:rsidP="00C6361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val="sv-SE" w:eastAsia="sv-SE"/>
                    </w:rPr>
                  </w:pPr>
                  <w:r w:rsidRPr="00BE08B3"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val="sv-SE" w:eastAsia="sv-SE"/>
                    </w:rPr>
                    <w:t>570 629</w:t>
                  </w:r>
                </w:p>
              </w:tc>
            </w:tr>
            <w:tr w:rsidR="00C6361A" w:rsidRPr="00BE08B3" w:rsidTr="00440267">
              <w:trPr>
                <w:trHeight w:val="255"/>
              </w:trPr>
              <w:tc>
                <w:tcPr>
                  <w:tcW w:w="1571" w:type="dxa"/>
                  <w:tcBorders>
                    <w:top w:val="nil"/>
                    <w:left w:val="single" w:sz="4" w:space="0" w:color="DCDCDC"/>
                    <w:bottom w:val="single" w:sz="4" w:space="0" w:color="DCDCDC"/>
                    <w:right w:val="single" w:sz="4" w:space="0" w:color="DCDCDC"/>
                  </w:tcBorders>
                  <w:shd w:val="clear" w:color="000000" w:fill="FFFFFF"/>
                  <w:noWrap/>
                  <w:vAlign w:val="bottom"/>
                  <w:hideMark/>
                </w:tcPr>
                <w:p w:rsidR="00C6361A" w:rsidRPr="00BE08B3" w:rsidRDefault="00C6361A" w:rsidP="00C6361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val="sv-SE" w:eastAsia="sv-SE"/>
                    </w:rPr>
                  </w:pPr>
                  <w:r w:rsidRPr="00BE08B3"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val="sv-SE" w:eastAsia="sv-SE"/>
                    </w:rPr>
                    <w:t>Returbränsle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DCDCDC"/>
                    <w:right w:val="single" w:sz="4" w:space="0" w:color="DCDCDC"/>
                  </w:tcBorders>
                  <w:shd w:val="clear" w:color="000000" w:fill="FFFFFF"/>
                  <w:noWrap/>
                  <w:vAlign w:val="bottom"/>
                  <w:hideMark/>
                </w:tcPr>
                <w:p w:rsidR="00C6361A" w:rsidRPr="00BE08B3" w:rsidRDefault="00C6361A" w:rsidP="00C6361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val="sv-SE" w:eastAsia="sv-SE"/>
                    </w:rPr>
                  </w:pPr>
                  <w:r w:rsidRPr="00BE08B3"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val="sv-SE" w:eastAsia="sv-SE"/>
                    </w:rPr>
                    <w:t>1 418 971</w:t>
                  </w:r>
                </w:p>
              </w:tc>
            </w:tr>
            <w:tr w:rsidR="00C6361A" w:rsidRPr="00BE08B3" w:rsidTr="00440267">
              <w:trPr>
                <w:trHeight w:val="255"/>
              </w:trPr>
              <w:tc>
                <w:tcPr>
                  <w:tcW w:w="1571" w:type="dxa"/>
                  <w:tcBorders>
                    <w:top w:val="nil"/>
                    <w:left w:val="single" w:sz="4" w:space="0" w:color="DCDCDC"/>
                    <w:bottom w:val="single" w:sz="4" w:space="0" w:color="DCDCDC"/>
                    <w:right w:val="single" w:sz="4" w:space="0" w:color="DCDCDC"/>
                  </w:tcBorders>
                  <w:shd w:val="clear" w:color="000000" w:fill="FFFFFF"/>
                  <w:noWrap/>
                  <w:vAlign w:val="bottom"/>
                  <w:hideMark/>
                </w:tcPr>
                <w:p w:rsidR="00C6361A" w:rsidRPr="00BE08B3" w:rsidRDefault="00C6361A" w:rsidP="00C6361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val="sv-SE" w:eastAsia="sv-SE"/>
                    </w:rPr>
                  </w:pPr>
                  <w:r w:rsidRPr="00BE08B3"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val="sv-SE" w:eastAsia="sv-SE"/>
                    </w:rPr>
                    <w:t>Övriga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DCDCDC"/>
                    <w:right w:val="single" w:sz="4" w:space="0" w:color="DCDCDC"/>
                  </w:tcBorders>
                  <w:shd w:val="clear" w:color="000000" w:fill="FFFFFF"/>
                  <w:noWrap/>
                  <w:vAlign w:val="bottom"/>
                  <w:hideMark/>
                </w:tcPr>
                <w:p w:rsidR="00C6361A" w:rsidRPr="00BE08B3" w:rsidRDefault="00C6361A" w:rsidP="00C6361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val="sv-SE" w:eastAsia="sv-SE"/>
                    </w:rPr>
                  </w:pPr>
                  <w:r w:rsidRPr="00BE08B3"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val="sv-SE" w:eastAsia="sv-SE"/>
                    </w:rPr>
                    <w:t>2 381</w:t>
                  </w:r>
                </w:p>
              </w:tc>
            </w:tr>
            <w:tr w:rsidR="00C6361A" w:rsidRPr="00BE08B3" w:rsidTr="00440267">
              <w:trPr>
                <w:trHeight w:val="255"/>
              </w:trPr>
              <w:tc>
                <w:tcPr>
                  <w:tcW w:w="1571" w:type="dxa"/>
                  <w:tcBorders>
                    <w:top w:val="nil"/>
                    <w:left w:val="single" w:sz="4" w:space="0" w:color="DCDCDC"/>
                    <w:bottom w:val="single" w:sz="4" w:space="0" w:color="DCDCDC"/>
                    <w:right w:val="single" w:sz="4" w:space="0" w:color="DCDCDC"/>
                  </w:tcBorders>
                  <w:shd w:val="clear" w:color="000000" w:fill="FFFFFF"/>
                  <w:noWrap/>
                  <w:vAlign w:val="bottom"/>
                  <w:hideMark/>
                </w:tcPr>
                <w:p w:rsidR="00C6361A" w:rsidRPr="00BE08B3" w:rsidRDefault="00C6361A" w:rsidP="00C6361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val="sv-SE" w:eastAsia="sv-SE"/>
                    </w:rPr>
                  </w:pPr>
                  <w:r w:rsidRPr="00BE08B3"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val="sv-SE" w:eastAsia="sv-SE"/>
                    </w:rPr>
                    <w:t>Övriga Biobränsle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DCDCDC"/>
                    <w:right w:val="single" w:sz="4" w:space="0" w:color="DCDCDC"/>
                  </w:tcBorders>
                  <w:shd w:val="clear" w:color="000000" w:fill="FFFFFF"/>
                  <w:noWrap/>
                  <w:vAlign w:val="bottom"/>
                  <w:hideMark/>
                </w:tcPr>
                <w:p w:rsidR="00C6361A" w:rsidRPr="00BE08B3" w:rsidRDefault="00C6361A" w:rsidP="00C6361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val="sv-SE" w:eastAsia="sv-SE"/>
                    </w:rPr>
                  </w:pPr>
                  <w:r w:rsidRPr="00BE08B3"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val="sv-SE" w:eastAsia="sv-SE"/>
                    </w:rPr>
                    <w:t>52 460</w:t>
                  </w:r>
                </w:p>
              </w:tc>
            </w:tr>
          </w:tbl>
          <w:p w:rsidR="0056011F" w:rsidRDefault="0056011F" w:rsidP="0071552F">
            <w:pPr>
              <w:spacing w:after="0" w:line="240" w:lineRule="auto"/>
              <w:rPr>
                <w:lang w:val="sv-SE"/>
              </w:rPr>
            </w:pPr>
          </w:p>
          <w:p w:rsidR="00C6361A" w:rsidRPr="0071552F" w:rsidRDefault="00C6361A" w:rsidP="0071552F">
            <w:pPr>
              <w:spacing w:after="0" w:line="240" w:lineRule="auto"/>
              <w:rPr>
                <w:lang w:val="sv-SE"/>
              </w:rPr>
            </w:pPr>
          </w:p>
        </w:tc>
      </w:tr>
      <w:tr w:rsidR="0056011F" w:rsidRPr="00561566" w:rsidTr="00BB385F">
        <w:trPr>
          <w:trHeight w:val="1679"/>
        </w:trPr>
        <w:tc>
          <w:tcPr>
            <w:tcW w:w="3227" w:type="dxa"/>
            <w:vMerge w:val="restart"/>
          </w:tcPr>
          <w:p w:rsidR="0056011F" w:rsidRPr="0071552F" w:rsidRDefault="0056011F" w:rsidP="0071552F">
            <w:pPr>
              <w:spacing w:after="0" w:line="240" w:lineRule="auto"/>
            </w:pPr>
            <w:r w:rsidRPr="0071552F">
              <w:t xml:space="preserve">Specific primary energy factors, PEF, for fuels that the DES- company uses compared to those suggested in Swedish DES-guide, table 5 in Appendix A. If </w:t>
            </w:r>
            <w:r w:rsidRPr="0071552F">
              <w:lastRenderedPageBreak/>
              <w:t>the PEF differs an explanation why is needed.</w:t>
            </w:r>
          </w:p>
        </w:tc>
        <w:tc>
          <w:tcPr>
            <w:tcW w:w="6395" w:type="dxa"/>
          </w:tcPr>
          <w:p w:rsidR="0056011F" w:rsidRPr="0071552F" w:rsidRDefault="0056011F" w:rsidP="0071552F">
            <w:pPr>
              <w:spacing w:after="0" w:line="240" w:lineRule="auto"/>
            </w:pPr>
            <w:r w:rsidRPr="0071552F">
              <w:lastRenderedPageBreak/>
              <w:t>1) PEF</w:t>
            </w:r>
            <w:r w:rsidRPr="0071552F">
              <w:rPr>
                <w:vertAlign w:val="subscript"/>
              </w:rPr>
              <w:t>HOB(</w:t>
            </w:r>
            <w:proofErr w:type="spellStart"/>
            <w:r w:rsidRPr="0071552F">
              <w:rPr>
                <w:vertAlign w:val="subscript"/>
              </w:rPr>
              <w:t>i</w:t>
            </w:r>
            <w:proofErr w:type="spellEnd"/>
            <w:r w:rsidRPr="0071552F">
              <w:rPr>
                <w:vertAlign w:val="subscript"/>
              </w:rPr>
              <w:t xml:space="preserve">) </w:t>
            </w:r>
            <w:r w:rsidRPr="0071552F">
              <w:t>and PEF</w:t>
            </w:r>
            <w:r w:rsidRPr="0071552F">
              <w:rPr>
                <w:vertAlign w:val="subscript"/>
              </w:rPr>
              <w:t>CHP(</w:t>
            </w:r>
            <w:proofErr w:type="spellStart"/>
            <w:r w:rsidRPr="0071552F">
              <w:rPr>
                <w:vertAlign w:val="subscript"/>
              </w:rPr>
              <w:t>i</w:t>
            </w:r>
            <w:proofErr w:type="spellEnd"/>
            <w:r w:rsidRPr="0071552F">
              <w:rPr>
                <w:vertAlign w:val="subscript"/>
              </w:rPr>
              <w:t xml:space="preserve">)  </w:t>
            </w:r>
            <w:r w:rsidRPr="0071552F">
              <w:t>(specific fuels) [</w:t>
            </w:r>
            <w:proofErr w:type="spellStart"/>
            <w:r w:rsidRPr="0071552F">
              <w:t>kWh</w:t>
            </w:r>
            <w:r w:rsidRPr="0071552F">
              <w:rPr>
                <w:vertAlign w:val="subscript"/>
              </w:rPr>
              <w:t>p</w:t>
            </w:r>
            <w:proofErr w:type="spellEnd"/>
            <w:r w:rsidRPr="0071552F">
              <w:t>/</w:t>
            </w:r>
            <w:proofErr w:type="spellStart"/>
            <w:r w:rsidRPr="0071552F">
              <w:t>kWh</w:t>
            </w:r>
            <w:r w:rsidRPr="0071552F">
              <w:rPr>
                <w:vertAlign w:val="subscript"/>
              </w:rPr>
              <w:t>fuel</w:t>
            </w:r>
            <w:proofErr w:type="spellEnd"/>
            <w:r w:rsidRPr="0071552F">
              <w:t>]</w:t>
            </w:r>
          </w:p>
          <w:p w:rsidR="0056011F" w:rsidRPr="00D101E6" w:rsidRDefault="0056011F" w:rsidP="0071552F">
            <w:pPr>
              <w:spacing w:after="0" w:line="240" w:lineRule="auto"/>
              <w:rPr>
                <w:lang w:val="en-GB"/>
              </w:rPr>
            </w:pPr>
          </w:p>
          <w:tbl>
            <w:tblPr>
              <w:tblW w:w="456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13"/>
              <w:gridCol w:w="567"/>
              <w:gridCol w:w="1180"/>
            </w:tblGrid>
            <w:tr w:rsidR="0056011F" w:rsidRPr="00114A50" w:rsidTr="00114A50">
              <w:trPr>
                <w:trHeight w:val="1200"/>
              </w:trPr>
              <w:tc>
                <w:tcPr>
                  <w:tcW w:w="3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6011F" w:rsidRPr="00114A50" w:rsidRDefault="0056011F" w:rsidP="00114A50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lang w:val="sv-SE" w:eastAsia="sv-SE"/>
                    </w:rPr>
                  </w:pPr>
                  <w:r w:rsidRPr="00114A50">
                    <w:rPr>
                      <w:b/>
                      <w:bCs/>
                      <w:color w:val="000000"/>
                      <w:lang w:val="sv-SE" w:eastAsia="sv-SE"/>
                    </w:rPr>
                    <w:t>PEF Fortum Värme (VMK)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011F" w:rsidRPr="00114A50" w:rsidRDefault="0056011F" w:rsidP="00114A50">
                  <w:pPr>
                    <w:spacing w:after="0" w:line="240" w:lineRule="auto"/>
                    <w:jc w:val="right"/>
                    <w:rPr>
                      <w:b/>
                      <w:bCs/>
                      <w:color w:val="000000"/>
                      <w:lang w:val="sv-SE" w:eastAsia="sv-SE"/>
                    </w:rPr>
                  </w:pPr>
                  <w:r w:rsidRPr="00114A50">
                    <w:rPr>
                      <w:b/>
                      <w:bCs/>
                      <w:color w:val="000000"/>
                      <w:lang w:val="sv-SE" w:eastAsia="sv-SE"/>
                    </w:rPr>
                    <w:t xml:space="preserve">Swedish DES </w:t>
                  </w:r>
                  <w:proofErr w:type="spellStart"/>
                  <w:r w:rsidRPr="00114A50">
                    <w:rPr>
                      <w:b/>
                      <w:bCs/>
                      <w:color w:val="000000"/>
                      <w:lang w:val="sv-SE" w:eastAsia="sv-SE"/>
                    </w:rPr>
                    <w:t>calculation</w:t>
                  </w:r>
                  <w:proofErr w:type="spellEnd"/>
                  <w:r w:rsidRPr="00114A50">
                    <w:rPr>
                      <w:b/>
                      <w:bCs/>
                      <w:color w:val="000000"/>
                      <w:lang w:val="sv-SE" w:eastAsia="sv-SE"/>
                    </w:rPr>
                    <w:t xml:space="preserve"> </w:t>
                  </w:r>
                  <w:proofErr w:type="spellStart"/>
                  <w:r w:rsidRPr="00114A50">
                    <w:rPr>
                      <w:b/>
                      <w:bCs/>
                      <w:color w:val="000000"/>
                      <w:lang w:val="sv-SE" w:eastAsia="sv-SE"/>
                    </w:rPr>
                    <w:t>method</w:t>
                  </w:r>
                  <w:proofErr w:type="spellEnd"/>
                </w:p>
              </w:tc>
            </w:tr>
            <w:tr w:rsidR="0056011F" w:rsidRPr="00114A50" w:rsidTr="00114A50">
              <w:trPr>
                <w:trHeight w:val="300"/>
              </w:trPr>
              <w:tc>
                <w:tcPr>
                  <w:tcW w:w="281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011F" w:rsidRPr="00114A50" w:rsidRDefault="0056011F" w:rsidP="00114A50">
                  <w:pPr>
                    <w:spacing w:after="0" w:line="240" w:lineRule="auto"/>
                    <w:rPr>
                      <w:color w:val="000000"/>
                      <w:lang w:val="sv-SE" w:eastAsia="sv-SE"/>
                    </w:rPr>
                  </w:pPr>
                  <w:r w:rsidRPr="00114A50">
                    <w:rPr>
                      <w:color w:val="000000"/>
                      <w:lang w:val="sv-SE" w:eastAsia="sv-SE"/>
                    </w:rPr>
                    <w:lastRenderedPageBreak/>
                    <w:t>Eo1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011F" w:rsidRPr="00114A50" w:rsidRDefault="0056011F" w:rsidP="00114A5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  <w:lang w:val="sv-SE" w:eastAsia="sv-SE"/>
                    </w:rPr>
                  </w:pPr>
                  <w:r w:rsidRPr="00114A50">
                    <w:rPr>
                      <w:rFonts w:ascii="Arial" w:hAnsi="Arial" w:cs="Arial"/>
                      <w:sz w:val="20"/>
                      <w:szCs w:val="20"/>
                      <w:lang w:val="sv-SE" w:eastAsia="sv-SE"/>
                    </w:rPr>
                    <w:t>1,11</w:t>
                  </w:r>
                </w:p>
              </w:tc>
              <w:tc>
                <w:tcPr>
                  <w:tcW w:w="118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011F" w:rsidRPr="00114A50" w:rsidRDefault="0056011F" w:rsidP="00114A50">
                  <w:pPr>
                    <w:spacing w:after="0" w:line="240" w:lineRule="auto"/>
                    <w:jc w:val="right"/>
                    <w:rPr>
                      <w:color w:val="000000"/>
                      <w:lang w:val="sv-SE" w:eastAsia="sv-SE"/>
                    </w:rPr>
                  </w:pPr>
                  <w:r w:rsidRPr="00114A50">
                    <w:rPr>
                      <w:color w:val="000000"/>
                      <w:lang w:val="sv-SE" w:eastAsia="sv-SE"/>
                    </w:rPr>
                    <w:t>1,11</w:t>
                  </w:r>
                </w:p>
              </w:tc>
            </w:tr>
            <w:tr w:rsidR="0056011F" w:rsidRPr="00114A50" w:rsidTr="00114A50">
              <w:trPr>
                <w:trHeight w:val="300"/>
              </w:trPr>
              <w:tc>
                <w:tcPr>
                  <w:tcW w:w="281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011F" w:rsidRPr="00114A50" w:rsidRDefault="0056011F" w:rsidP="00114A50">
                  <w:pPr>
                    <w:spacing w:after="0" w:line="240" w:lineRule="auto"/>
                    <w:rPr>
                      <w:color w:val="000000"/>
                      <w:lang w:val="sv-SE" w:eastAsia="sv-SE"/>
                    </w:rPr>
                  </w:pPr>
                  <w:r w:rsidRPr="00114A50">
                    <w:rPr>
                      <w:color w:val="000000"/>
                      <w:lang w:val="sv-SE" w:eastAsia="sv-SE"/>
                    </w:rPr>
                    <w:t>Eo5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011F" w:rsidRPr="00114A50" w:rsidRDefault="0056011F" w:rsidP="00114A5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  <w:lang w:val="sv-SE" w:eastAsia="sv-SE"/>
                    </w:rPr>
                  </w:pPr>
                  <w:r w:rsidRPr="00114A50">
                    <w:rPr>
                      <w:rFonts w:ascii="Arial" w:hAnsi="Arial" w:cs="Arial"/>
                      <w:sz w:val="20"/>
                      <w:szCs w:val="20"/>
                      <w:lang w:val="sv-SE" w:eastAsia="sv-SE"/>
                    </w:rPr>
                    <w:t>1,11</w:t>
                  </w:r>
                </w:p>
              </w:tc>
              <w:tc>
                <w:tcPr>
                  <w:tcW w:w="118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011F" w:rsidRPr="00114A50" w:rsidRDefault="0056011F" w:rsidP="00114A50">
                  <w:pPr>
                    <w:spacing w:after="0" w:line="240" w:lineRule="auto"/>
                    <w:jc w:val="right"/>
                    <w:rPr>
                      <w:color w:val="000000"/>
                      <w:lang w:val="sv-SE" w:eastAsia="sv-SE"/>
                    </w:rPr>
                  </w:pPr>
                  <w:r w:rsidRPr="00114A50">
                    <w:rPr>
                      <w:color w:val="000000"/>
                      <w:lang w:val="sv-SE" w:eastAsia="sv-SE"/>
                    </w:rPr>
                    <w:t>1,11</w:t>
                  </w:r>
                </w:p>
              </w:tc>
            </w:tr>
            <w:tr w:rsidR="0056011F" w:rsidRPr="00114A50" w:rsidTr="00114A50">
              <w:trPr>
                <w:trHeight w:val="300"/>
              </w:trPr>
              <w:tc>
                <w:tcPr>
                  <w:tcW w:w="281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011F" w:rsidRPr="00114A50" w:rsidRDefault="0056011F" w:rsidP="00114A50">
                  <w:pPr>
                    <w:spacing w:after="0" w:line="240" w:lineRule="auto"/>
                    <w:rPr>
                      <w:color w:val="000000"/>
                      <w:lang w:val="sv-SE" w:eastAsia="sv-SE"/>
                    </w:rPr>
                  </w:pPr>
                  <w:r w:rsidRPr="00114A50">
                    <w:rPr>
                      <w:color w:val="000000"/>
                      <w:lang w:val="sv-SE" w:eastAsia="sv-SE"/>
                    </w:rPr>
                    <w:t>Kol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011F" w:rsidRPr="00114A50" w:rsidRDefault="0056011F" w:rsidP="00114A5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  <w:lang w:val="sv-SE" w:eastAsia="sv-SE"/>
                    </w:rPr>
                  </w:pPr>
                  <w:r w:rsidRPr="00114A50">
                    <w:rPr>
                      <w:rFonts w:ascii="Arial" w:hAnsi="Arial" w:cs="Arial"/>
                      <w:sz w:val="20"/>
                      <w:szCs w:val="20"/>
                      <w:lang w:val="sv-SE" w:eastAsia="sv-SE"/>
                    </w:rPr>
                    <w:t>1,15</w:t>
                  </w:r>
                </w:p>
              </w:tc>
              <w:tc>
                <w:tcPr>
                  <w:tcW w:w="118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011F" w:rsidRPr="00114A50" w:rsidRDefault="0056011F" w:rsidP="00114A5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  <w:lang w:val="sv-SE" w:eastAsia="sv-SE"/>
                    </w:rPr>
                  </w:pPr>
                  <w:r w:rsidRPr="00114A50">
                    <w:rPr>
                      <w:rFonts w:ascii="Arial" w:hAnsi="Arial" w:cs="Arial"/>
                      <w:sz w:val="20"/>
                      <w:szCs w:val="20"/>
                      <w:lang w:val="sv-SE" w:eastAsia="sv-SE"/>
                    </w:rPr>
                    <w:t>1,15</w:t>
                  </w:r>
                </w:p>
              </w:tc>
            </w:tr>
            <w:tr w:rsidR="0056011F" w:rsidRPr="00114A50" w:rsidTr="00114A50">
              <w:trPr>
                <w:trHeight w:val="300"/>
              </w:trPr>
              <w:tc>
                <w:tcPr>
                  <w:tcW w:w="281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011F" w:rsidRPr="00114A50" w:rsidRDefault="00561566" w:rsidP="00114A50">
                  <w:pPr>
                    <w:spacing w:after="0" w:line="240" w:lineRule="auto"/>
                    <w:rPr>
                      <w:color w:val="000000"/>
                      <w:lang w:val="sv-SE" w:eastAsia="sv-SE"/>
                    </w:rPr>
                  </w:pPr>
                  <w:proofErr w:type="spellStart"/>
                  <w:r>
                    <w:rPr>
                      <w:color w:val="000000"/>
                      <w:lang w:val="sv-SE" w:eastAsia="sv-SE"/>
                    </w:rPr>
                    <w:t>Secondary</w:t>
                  </w:r>
                  <w:proofErr w:type="spellEnd"/>
                  <w:r>
                    <w:rPr>
                      <w:color w:val="000000"/>
                      <w:lang w:val="sv-SE" w:eastAsia="sv-SE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lang w:val="sv-SE" w:eastAsia="sv-SE"/>
                    </w:rPr>
                    <w:t>biofuels</w:t>
                  </w:r>
                  <w:proofErr w:type="spellEnd"/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011F" w:rsidRPr="00114A50" w:rsidRDefault="0056011F" w:rsidP="00114A5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  <w:lang w:val="sv-SE" w:eastAsia="sv-SE"/>
                    </w:rPr>
                  </w:pPr>
                  <w:r w:rsidRPr="00114A50">
                    <w:rPr>
                      <w:rFonts w:ascii="Arial" w:hAnsi="Arial" w:cs="Arial"/>
                      <w:sz w:val="20"/>
                      <w:szCs w:val="20"/>
                      <w:lang w:val="sv-SE" w:eastAsia="sv-SE"/>
                    </w:rPr>
                    <w:t>0,03</w:t>
                  </w:r>
                </w:p>
              </w:tc>
              <w:tc>
                <w:tcPr>
                  <w:tcW w:w="118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011F" w:rsidRPr="00114A50" w:rsidRDefault="0056011F" w:rsidP="00114A50">
                  <w:pPr>
                    <w:spacing w:after="0" w:line="240" w:lineRule="auto"/>
                    <w:jc w:val="right"/>
                    <w:rPr>
                      <w:color w:val="000000"/>
                      <w:lang w:val="sv-SE" w:eastAsia="sv-SE"/>
                    </w:rPr>
                  </w:pPr>
                  <w:r w:rsidRPr="00114A50">
                    <w:rPr>
                      <w:color w:val="000000"/>
                      <w:lang w:val="sv-SE" w:eastAsia="sv-SE"/>
                    </w:rPr>
                    <w:t>1,05</w:t>
                  </w:r>
                </w:p>
              </w:tc>
            </w:tr>
            <w:tr w:rsidR="0056011F" w:rsidRPr="00114A50" w:rsidTr="00114A50">
              <w:trPr>
                <w:trHeight w:val="300"/>
              </w:trPr>
              <w:tc>
                <w:tcPr>
                  <w:tcW w:w="281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011F" w:rsidRPr="00114A50" w:rsidRDefault="00561566" w:rsidP="00561566">
                  <w:pPr>
                    <w:spacing w:after="0" w:line="240" w:lineRule="auto"/>
                    <w:rPr>
                      <w:color w:val="000000"/>
                      <w:lang w:val="sv-SE" w:eastAsia="sv-SE"/>
                    </w:rPr>
                  </w:pPr>
                  <w:proofErr w:type="spellStart"/>
                  <w:r>
                    <w:rPr>
                      <w:color w:val="000000"/>
                      <w:lang w:val="sv-SE" w:eastAsia="sv-SE"/>
                    </w:rPr>
                    <w:t>Wooden</w:t>
                  </w:r>
                  <w:proofErr w:type="spellEnd"/>
                  <w:r>
                    <w:rPr>
                      <w:color w:val="000000"/>
                      <w:lang w:val="sv-SE" w:eastAsia="sv-SE"/>
                    </w:rPr>
                    <w:t xml:space="preserve"> pellets </w:t>
                  </w:r>
                  <w:proofErr w:type="spellStart"/>
                  <w:r>
                    <w:rPr>
                      <w:color w:val="000000"/>
                      <w:lang w:val="sv-SE" w:eastAsia="sv-SE"/>
                    </w:rPr>
                    <w:t>etc</w:t>
                  </w:r>
                  <w:proofErr w:type="spellEnd"/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011F" w:rsidRPr="00114A50" w:rsidRDefault="0056011F" w:rsidP="00114A5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  <w:lang w:val="sv-SE" w:eastAsia="sv-SE"/>
                    </w:rPr>
                  </w:pPr>
                  <w:r w:rsidRPr="00114A50">
                    <w:rPr>
                      <w:rFonts w:ascii="Arial" w:hAnsi="Arial" w:cs="Arial"/>
                      <w:sz w:val="20"/>
                      <w:szCs w:val="20"/>
                      <w:lang w:val="sv-SE" w:eastAsia="sv-SE"/>
                    </w:rPr>
                    <w:t>0,11</w:t>
                  </w:r>
                </w:p>
              </w:tc>
              <w:tc>
                <w:tcPr>
                  <w:tcW w:w="118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011F" w:rsidRPr="00114A50" w:rsidRDefault="0056011F" w:rsidP="00114A50">
                  <w:pPr>
                    <w:spacing w:after="0" w:line="240" w:lineRule="auto"/>
                    <w:jc w:val="right"/>
                    <w:rPr>
                      <w:color w:val="000000"/>
                      <w:lang w:val="sv-SE" w:eastAsia="sv-SE"/>
                    </w:rPr>
                  </w:pPr>
                  <w:r w:rsidRPr="00114A50">
                    <w:rPr>
                      <w:color w:val="000000"/>
                      <w:lang w:val="sv-SE" w:eastAsia="sv-SE"/>
                    </w:rPr>
                    <w:t>1,05</w:t>
                  </w:r>
                </w:p>
              </w:tc>
            </w:tr>
            <w:tr w:rsidR="0056011F" w:rsidRPr="00114A50" w:rsidTr="00114A50">
              <w:trPr>
                <w:trHeight w:val="300"/>
              </w:trPr>
              <w:tc>
                <w:tcPr>
                  <w:tcW w:w="281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011F" w:rsidRPr="00114A50" w:rsidRDefault="00561566" w:rsidP="00114A50">
                  <w:pPr>
                    <w:spacing w:after="0" w:line="240" w:lineRule="auto"/>
                    <w:rPr>
                      <w:color w:val="000000"/>
                      <w:lang w:val="sv-SE" w:eastAsia="sv-SE"/>
                    </w:rPr>
                  </w:pPr>
                  <w:proofErr w:type="spellStart"/>
                  <w:r>
                    <w:rPr>
                      <w:color w:val="000000"/>
                      <w:lang w:val="sv-SE" w:eastAsia="sv-SE"/>
                    </w:rPr>
                    <w:t>Biooil</w:t>
                  </w:r>
                  <w:proofErr w:type="spellEnd"/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011F" w:rsidRPr="00114A50" w:rsidRDefault="0056011F" w:rsidP="00114A5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  <w:lang w:val="sv-SE" w:eastAsia="sv-SE"/>
                    </w:rPr>
                  </w:pPr>
                  <w:r w:rsidRPr="00114A50">
                    <w:rPr>
                      <w:rFonts w:ascii="Arial" w:hAnsi="Arial" w:cs="Arial"/>
                      <w:sz w:val="20"/>
                      <w:szCs w:val="20"/>
                      <w:lang w:val="sv-SE" w:eastAsia="sv-SE"/>
                    </w:rPr>
                    <w:t>0,04</w:t>
                  </w:r>
                </w:p>
              </w:tc>
              <w:tc>
                <w:tcPr>
                  <w:tcW w:w="118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011F" w:rsidRPr="00114A50" w:rsidRDefault="0056011F" w:rsidP="00114A50">
                  <w:pPr>
                    <w:spacing w:after="0" w:line="240" w:lineRule="auto"/>
                    <w:jc w:val="right"/>
                    <w:rPr>
                      <w:color w:val="000000"/>
                      <w:lang w:val="sv-SE" w:eastAsia="sv-SE"/>
                    </w:rPr>
                  </w:pPr>
                  <w:r w:rsidRPr="00114A50">
                    <w:rPr>
                      <w:color w:val="000000"/>
                      <w:lang w:val="sv-SE" w:eastAsia="sv-SE"/>
                    </w:rPr>
                    <w:t>0,03</w:t>
                  </w:r>
                </w:p>
              </w:tc>
            </w:tr>
            <w:tr w:rsidR="0056011F" w:rsidRPr="00114A50" w:rsidTr="00114A50">
              <w:trPr>
                <w:trHeight w:val="300"/>
              </w:trPr>
              <w:tc>
                <w:tcPr>
                  <w:tcW w:w="281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011F" w:rsidRPr="00114A50" w:rsidRDefault="00561566" w:rsidP="00114A50">
                  <w:pPr>
                    <w:spacing w:after="0" w:line="240" w:lineRule="auto"/>
                    <w:rPr>
                      <w:color w:val="000000"/>
                      <w:lang w:val="sv-SE" w:eastAsia="sv-SE"/>
                    </w:rPr>
                  </w:pPr>
                  <w:proofErr w:type="spellStart"/>
                  <w:r>
                    <w:rPr>
                      <w:color w:val="000000"/>
                      <w:lang w:val="sv-SE" w:eastAsia="sv-SE"/>
                    </w:rPr>
                    <w:t>Household</w:t>
                  </w:r>
                  <w:proofErr w:type="spellEnd"/>
                  <w:r>
                    <w:rPr>
                      <w:color w:val="000000"/>
                      <w:lang w:val="sv-SE" w:eastAsia="sv-SE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lang w:val="sv-SE" w:eastAsia="sv-SE"/>
                    </w:rPr>
                    <w:t>waste</w:t>
                  </w:r>
                  <w:proofErr w:type="spellEnd"/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011F" w:rsidRPr="00114A50" w:rsidRDefault="0056011F" w:rsidP="00114A5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  <w:lang w:val="sv-SE" w:eastAsia="sv-SE"/>
                    </w:rPr>
                  </w:pPr>
                  <w:r w:rsidRPr="00114A50">
                    <w:rPr>
                      <w:rFonts w:ascii="Arial" w:hAnsi="Arial" w:cs="Arial"/>
                      <w:sz w:val="20"/>
                      <w:szCs w:val="20"/>
                      <w:lang w:val="sv-SE" w:eastAsia="sv-SE"/>
                    </w:rPr>
                    <w:t>0,04</w:t>
                  </w:r>
                </w:p>
              </w:tc>
              <w:tc>
                <w:tcPr>
                  <w:tcW w:w="118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011F" w:rsidRPr="00114A50" w:rsidRDefault="0056011F" w:rsidP="00114A50">
                  <w:pPr>
                    <w:spacing w:after="0" w:line="240" w:lineRule="auto"/>
                    <w:jc w:val="right"/>
                    <w:rPr>
                      <w:color w:val="000000"/>
                      <w:lang w:val="sv-SE" w:eastAsia="sv-SE"/>
                    </w:rPr>
                  </w:pPr>
                  <w:r w:rsidRPr="00114A50">
                    <w:rPr>
                      <w:color w:val="000000"/>
                      <w:lang w:val="sv-SE" w:eastAsia="sv-SE"/>
                    </w:rPr>
                    <w:t>0,03</w:t>
                  </w:r>
                </w:p>
              </w:tc>
            </w:tr>
            <w:tr w:rsidR="0056011F" w:rsidRPr="00114A50" w:rsidTr="00114A50">
              <w:trPr>
                <w:trHeight w:val="300"/>
              </w:trPr>
              <w:tc>
                <w:tcPr>
                  <w:tcW w:w="281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011F" w:rsidRPr="00114A50" w:rsidRDefault="00561566" w:rsidP="00114A50">
                  <w:pPr>
                    <w:spacing w:after="0" w:line="240" w:lineRule="auto"/>
                    <w:rPr>
                      <w:color w:val="000000"/>
                      <w:lang w:val="sv-SE" w:eastAsia="sv-SE"/>
                    </w:rPr>
                  </w:pPr>
                  <w:proofErr w:type="spellStart"/>
                  <w:r>
                    <w:rPr>
                      <w:color w:val="000000"/>
                      <w:lang w:val="sv-SE" w:eastAsia="sv-SE"/>
                    </w:rPr>
                    <w:t>Return</w:t>
                  </w:r>
                  <w:proofErr w:type="spellEnd"/>
                  <w:r>
                    <w:rPr>
                      <w:color w:val="000000"/>
                      <w:lang w:val="sv-SE" w:eastAsia="sv-SE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lang w:val="sv-SE" w:eastAsia="sv-SE"/>
                    </w:rPr>
                    <w:t>fuel</w:t>
                  </w:r>
                  <w:proofErr w:type="spellEnd"/>
                  <w:r>
                    <w:rPr>
                      <w:color w:val="000000"/>
                      <w:lang w:val="sv-SE" w:eastAsia="sv-SE"/>
                    </w:rPr>
                    <w:t>*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011F" w:rsidRPr="00114A50" w:rsidRDefault="0056011F" w:rsidP="00114A5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  <w:lang w:val="sv-SE" w:eastAsia="sv-SE"/>
                    </w:rPr>
                  </w:pPr>
                  <w:r w:rsidRPr="00114A50">
                    <w:rPr>
                      <w:rFonts w:ascii="Arial" w:hAnsi="Arial" w:cs="Arial"/>
                      <w:sz w:val="20"/>
                      <w:szCs w:val="20"/>
                      <w:lang w:val="sv-SE" w:eastAsia="sv-SE"/>
                    </w:rPr>
                    <w:t>0,05</w:t>
                  </w:r>
                </w:p>
              </w:tc>
              <w:tc>
                <w:tcPr>
                  <w:tcW w:w="118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011F" w:rsidRPr="00114A50" w:rsidRDefault="0056011F" w:rsidP="00114A50">
                  <w:pPr>
                    <w:spacing w:after="0" w:line="240" w:lineRule="auto"/>
                    <w:jc w:val="right"/>
                    <w:rPr>
                      <w:color w:val="000000"/>
                      <w:lang w:val="sv-SE" w:eastAsia="sv-SE"/>
                    </w:rPr>
                  </w:pPr>
                  <w:r w:rsidRPr="00114A50">
                    <w:rPr>
                      <w:color w:val="000000"/>
                      <w:lang w:val="sv-SE" w:eastAsia="sv-SE"/>
                    </w:rPr>
                    <w:t>0,03</w:t>
                  </w:r>
                </w:p>
              </w:tc>
            </w:tr>
            <w:tr w:rsidR="0056011F" w:rsidRPr="00114A50" w:rsidTr="00114A50">
              <w:trPr>
                <w:trHeight w:val="300"/>
              </w:trPr>
              <w:tc>
                <w:tcPr>
                  <w:tcW w:w="281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011F" w:rsidRPr="00114A50" w:rsidRDefault="00561566" w:rsidP="00114A50">
                  <w:pPr>
                    <w:spacing w:after="0" w:line="240" w:lineRule="auto"/>
                    <w:rPr>
                      <w:color w:val="000000"/>
                      <w:lang w:val="sv-SE" w:eastAsia="sv-SE"/>
                    </w:rPr>
                  </w:pPr>
                  <w:r>
                    <w:rPr>
                      <w:color w:val="000000"/>
                      <w:lang w:val="sv-SE" w:eastAsia="sv-SE"/>
                    </w:rPr>
                    <w:t xml:space="preserve">City </w:t>
                  </w:r>
                  <w:r w:rsidR="0056011F" w:rsidRPr="00114A50">
                    <w:rPr>
                      <w:color w:val="000000"/>
                      <w:lang w:val="sv-SE" w:eastAsia="sv-SE"/>
                    </w:rPr>
                    <w:t>gas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011F" w:rsidRPr="00114A50" w:rsidRDefault="0056011F" w:rsidP="00114A5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  <w:lang w:val="sv-SE" w:eastAsia="sv-SE"/>
                    </w:rPr>
                  </w:pPr>
                  <w:r w:rsidRPr="00114A50">
                    <w:rPr>
                      <w:rFonts w:ascii="Arial" w:hAnsi="Arial" w:cs="Arial"/>
                      <w:sz w:val="20"/>
                      <w:szCs w:val="20"/>
                      <w:lang w:val="sv-SE" w:eastAsia="sv-SE"/>
                    </w:rPr>
                    <w:t>1,11</w:t>
                  </w:r>
                </w:p>
              </w:tc>
              <w:tc>
                <w:tcPr>
                  <w:tcW w:w="118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011F" w:rsidRPr="00114A50" w:rsidRDefault="0056011F" w:rsidP="00114A50">
                  <w:pPr>
                    <w:spacing w:after="0" w:line="240" w:lineRule="auto"/>
                    <w:jc w:val="right"/>
                    <w:rPr>
                      <w:color w:val="000000"/>
                      <w:lang w:val="sv-SE" w:eastAsia="sv-SE"/>
                    </w:rPr>
                  </w:pPr>
                  <w:r w:rsidRPr="00114A50">
                    <w:rPr>
                      <w:color w:val="000000"/>
                      <w:lang w:val="sv-SE" w:eastAsia="sv-SE"/>
                    </w:rPr>
                    <w:t>-</w:t>
                  </w:r>
                </w:p>
              </w:tc>
            </w:tr>
            <w:tr w:rsidR="0056011F" w:rsidRPr="00114A50" w:rsidTr="00114A50">
              <w:trPr>
                <w:trHeight w:val="300"/>
              </w:trPr>
              <w:tc>
                <w:tcPr>
                  <w:tcW w:w="281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011F" w:rsidRPr="00114A50" w:rsidRDefault="00561566" w:rsidP="00114A50">
                  <w:pPr>
                    <w:spacing w:after="0" w:line="240" w:lineRule="auto"/>
                    <w:rPr>
                      <w:color w:val="000000"/>
                      <w:lang w:val="sv-SE" w:eastAsia="sv-SE"/>
                    </w:rPr>
                  </w:pPr>
                  <w:proofErr w:type="spellStart"/>
                  <w:r>
                    <w:rPr>
                      <w:color w:val="000000"/>
                      <w:lang w:val="sv-SE" w:eastAsia="sv-SE"/>
                    </w:rPr>
                    <w:t>Peat</w:t>
                  </w:r>
                  <w:proofErr w:type="spellEnd"/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011F" w:rsidRPr="00114A50" w:rsidRDefault="0056011F" w:rsidP="00114A5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  <w:lang w:val="sv-SE" w:eastAsia="sv-SE"/>
                    </w:rPr>
                  </w:pPr>
                  <w:r w:rsidRPr="00114A50">
                    <w:rPr>
                      <w:rFonts w:ascii="Arial" w:hAnsi="Arial" w:cs="Arial"/>
                      <w:sz w:val="20"/>
                      <w:szCs w:val="20"/>
                      <w:lang w:val="sv-SE" w:eastAsia="sv-SE"/>
                    </w:rPr>
                    <w:t>1,01</w:t>
                  </w:r>
                </w:p>
              </w:tc>
              <w:tc>
                <w:tcPr>
                  <w:tcW w:w="118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011F" w:rsidRPr="00114A50" w:rsidRDefault="0056011F" w:rsidP="00114A50">
                  <w:pPr>
                    <w:spacing w:after="0" w:line="240" w:lineRule="auto"/>
                    <w:jc w:val="right"/>
                    <w:rPr>
                      <w:color w:val="000000"/>
                      <w:lang w:val="sv-SE" w:eastAsia="sv-SE"/>
                    </w:rPr>
                  </w:pPr>
                  <w:r w:rsidRPr="00114A50">
                    <w:rPr>
                      <w:color w:val="000000"/>
                      <w:lang w:val="sv-SE" w:eastAsia="sv-SE"/>
                    </w:rPr>
                    <w:t>-</w:t>
                  </w:r>
                </w:p>
              </w:tc>
            </w:tr>
            <w:tr w:rsidR="0056011F" w:rsidRPr="00114A50" w:rsidTr="00114A50">
              <w:trPr>
                <w:trHeight w:val="300"/>
              </w:trPr>
              <w:tc>
                <w:tcPr>
                  <w:tcW w:w="281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011F" w:rsidRPr="00561566" w:rsidRDefault="00561566" w:rsidP="00561566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v-SE"/>
                    </w:rPr>
                  </w:pPr>
                  <w:r w:rsidRPr="00561566">
                    <w:rPr>
                      <w:rFonts w:ascii="Arial" w:hAnsi="Arial" w:cs="Arial"/>
                      <w:sz w:val="20"/>
                      <w:szCs w:val="20"/>
                      <w:lang w:eastAsia="sv-SE"/>
                    </w:rPr>
                    <w:t xml:space="preserve">Electricity </w:t>
                  </w:r>
                  <w:proofErr w:type="spellStart"/>
                  <w:r w:rsidRPr="00561566">
                    <w:rPr>
                      <w:rFonts w:ascii="Arial" w:hAnsi="Arial" w:cs="Arial"/>
                      <w:sz w:val="20"/>
                      <w:szCs w:val="20"/>
                      <w:lang w:eastAsia="sv-SE"/>
                    </w:rPr>
                    <w:t>unspec</w:t>
                  </w:r>
                  <w:proofErr w:type="spellEnd"/>
                  <w:r w:rsidRPr="00561566">
                    <w:rPr>
                      <w:rFonts w:ascii="Arial" w:hAnsi="Arial" w:cs="Arial"/>
                      <w:sz w:val="20"/>
                      <w:szCs w:val="20"/>
                      <w:lang w:eastAsia="sv-SE"/>
                    </w:rPr>
                    <w:t xml:space="preserve">.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sv-SE"/>
                    </w:rPr>
                    <w:t>Nordic</w:t>
                  </w:r>
                  <w:r w:rsidR="0056011F" w:rsidRPr="00561566">
                    <w:rPr>
                      <w:rFonts w:ascii="Arial" w:hAnsi="Arial" w:cs="Arial"/>
                      <w:sz w:val="20"/>
                      <w:szCs w:val="20"/>
                      <w:lang w:eastAsia="sv-SE"/>
                    </w:rPr>
                    <w:t xml:space="preserve"> mix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011F" w:rsidRPr="00561566" w:rsidRDefault="0056011F" w:rsidP="00114A5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  <w:lang w:eastAsia="sv-SE"/>
                    </w:rPr>
                  </w:pPr>
                  <w:r w:rsidRPr="00561566">
                    <w:rPr>
                      <w:rFonts w:ascii="Arial" w:hAnsi="Arial" w:cs="Arial"/>
                      <w:sz w:val="20"/>
                      <w:szCs w:val="20"/>
                      <w:lang w:eastAsia="sv-SE"/>
                    </w:rPr>
                    <w:t>1,9</w:t>
                  </w:r>
                </w:p>
              </w:tc>
              <w:tc>
                <w:tcPr>
                  <w:tcW w:w="118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011F" w:rsidRPr="00561566" w:rsidRDefault="0056011F" w:rsidP="00114A50">
                  <w:pPr>
                    <w:spacing w:after="0" w:line="240" w:lineRule="auto"/>
                    <w:jc w:val="right"/>
                    <w:rPr>
                      <w:color w:val="000000"/>
                      <w:lang w:eastAsia="sv-SE"/>
                    </w:rPr>
                  </w:pPr>
                  <w:r w:rsidRPr="00561566">
                    <w:rPr>
                      <w:color w:val="000000"/>
                      <w:lang w:eastAsia="sv-SE"/>
                    </w:rPr>
                    <w:t>1,90</w:t>
                  </w:r>
                </w:p>
              </w:tc>
            </w:tr>
            <w:tr w:rsidR="0056011F" w:rsidRPr="00114A50" w:rsidTr="00114A50">
              <w:trPr>
                <w:trHeight w:val="300"/>
              </w:trPr>
              <w:tc>
                <w:tcPr>
                  <w:tcW w:w="281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011F" w:rsidRPr="00561566" w:rsidRDefault="0056011F" w:rsidP="00561566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v-SE"/>
                    </w:rPr>
                  </w:pPr>
                  <w:r w:rsidRPr="00561566">
                    <w:rPr>
                      <w:rFonts w:ascii="Arial" w:hAnsi="Arial" w:cs="Arial"/>
                      <w:sz w:val="20"/>
                      <w:szCs w:val="20"/>
                      <w:lang w:eastAsia="sv-SE"/>
                    </w:rPr>
                    <w:t>El</w:t>
                  </w:r>
                  <w:r w:rsidR="00561566" w:rsidRPr="00561566">
                    <w:rPr>
                      <w:rFonts w:ascii="Arial" w:hAnsi="Arial" w:cs="Arial"/>
                      <w:sz w:val="20"/>
                      <w:szCs w:val="20"/>
                      <w:lang w:eastAsia="sv-SE"/>
                    </w:rPr>
                    <w:t>ectricity</w:t>
                  </w:r>
                  <w:r w:rsidRPr="00561566">
                    <w:rPr>
                      <w:rFonts w:ascii="Arial" w:hAnsi="Arial" w:cs="Arial"/>
                      <w:sz w:val="20"/>
                      <w:szCs w:val="20"/>
                      <w:lang w:eastAsia="sv-SE"/>
                    </w:rPr>
                    <w:t xml:space="preserve"> </w:t>
                  </w:r>
                  <w:r w:rsidR="00561566" w:rsidRPr="00561566">
                    <w:rPr>
                      <w:rFonts w:ascii="Arial" w:hAnsi="Arial" w:cs="Arial"/>
                      <w:sz w:val="20"/>
                      <w:szCs w:val="20"/>
                      <w:lang w:eastAsia="sv-SE"/>
                    </w:rPr>
                    <w:t>origin labeled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011F" w:rsidRPr="00561566" w:rsidRDefault="0056011F" w:rsidP="00114A5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  <w:lang w:eastAsia="sv-SE"/>
                    </w:rPr>
                  </w:pPr>
                  <w:r w:rsidRPr="00561566">
                    <w:rPr>
                      <w:rFonts w:ascii="Arial" w:hAnsi="Arial" w:cs="Arial"/>
                      <w:sz w:val="20"/>
                      <w:szCs w:val="20"/>
                      <w:lang w:eastAsia="sv-SE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011F" w:rsidRPr="00561566" w:rsidRDefault="0056011F" w:rsidP="00114A50">
                  <w:pPr>
                    <w:spacing w:after="0" w:line="240" w:lineRule="auto"/>
                    <w:jc w:val="right"/>
                    <w:rPr>
                      <w:color w:val="000000"/>
                      <w:lang w:eastAsia="sv-SE"/>
                    </w:rPr>
                  </w:pPr>
                  <w:r w:rsidRPr="00561566">
                    <w:rPr>
                      <w:color w:val="000000"/>
                      <w:lang w:eastAsia="sv-SE"/>
                    </w:rPr>
                    <w:t>-</w:t>
                  </w:r>
                </w:p>
              </w:tc>
            </w:tr>
            <w:tr w:rsidR="0056011F" w:rsidRPr="00114A50" w:rsidTr="00114A50">
              <w:trPr>
                <w:trHeight w:val="300"/>
              </w:trPr>
              <w:tc>
                <w:tcPr>
                  <w:tcW w:w="281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011F" w:rsidRPr="00561566" w:rsidRDefault="00561566" w:rsidP="00114A50">
                  <w:pPr>
                    <w:spacing w:after="0" w:line="240" w:lineRule="auto"/>
                    <w:rPr>
                      <w:color w:val="000000"/>
                      <w:lang w:eastAsia="sv-SE"/>
                    </w:rPr>
                  </w:pPr>
                  <w:r>
                    <w:rPr>
                      <w:color w:val="000000"/>
                      <w:lang w:eastAsia="sv-SE"/>
                    </w:rPr>
                    <w:t>Waste heat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011F" w:rsidRPr="00561566" w:rsidRDefault="0056011F" w:rsidP="00114A5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  <w:lang w:eastAsia="sv-SE"/>
                    </w:rPr>
                  </w:pPr>
                  <w:r w:rsidRPr="00561566">
                    <w:rPr>
                      <w:rFonts w:ascii="Arial" w:hAnsi="Arial" w:cs="Arial"/>
                      <w:sz w:val="20"/>
                      <w:szCs w:val="20"/>
                      <w:lang w:eastAsia="sv-SE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011F" w:rsidRPr="00561566" w:rsidRDefault="0056011F" w:rsidP="00114A50">
                  <w:pPr>
                    <w:spacing w:after="0" w:line="240" w:lineRule="auto"/>
                    <w:jc w:val="right"/>
                    <w:rPr>
                      <w:color w:val="000000"/>
                      <w:lang w:eastAsia="sv-SE"/>
                    </w:rPr>
                  </w:pPr>
                  <w:r w:rsidRPr="00561566">
                    <w:rPr>
                      <w:color w:val="000000"/>
                      <w:lang w:eastAsia="sv-SE"/>
                    </w:rPr>
                    <w:t>0,00</w:t>
                  </w:r>
                </w:p>
              </w:tc>
            </w:tr>
            <w:tr w:rsidR="0056011F" w:rsidRPr="00561566" w:rsidTr="00114A50">
              <w:trPr>
                <w:trHeight w:val="300"/>
              </w:trPr>
              <w:tc>
                <w:tcPr>
                  <w:tcW w:w="281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011F" w:rsidRPr="00561566" w:rsidRDefault="00561566" w:rsidP="00114A5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sv-SE"/>
                    </w:rPr>
                    <w:t>Energy from sea and sewer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011F" w:rsidRPr="00561566" w:rsidRDefault="0056011F" w:rsidP="00114A5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  <w:lang w:eastAsia="sv-SE"/>
                    </w:rPr>
                  </w:pPr>
                  <w:r w:rsidRPr="00561566">
                    <w:rPr>
                      <w:rFonts w:ascii="Arial" w:hAnsi="Arial" w:cs="Arial"/>
                      <w:sz w:val="20"/>
                      <w:szCs w:val="20"/>
                      <w:lang w:eastAsia="sv-SE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011F" w:rsidRPr="00561566" w:rsidRDefault="0056011F" w:rsidP="00114A50">
                  <w:pPr>
                    <w:spacing w:after="0" w:line="240" w:lineRule="auto"/>
                    <w:jc w:val="right"/>
                    <w:rPr>
                      <w:color w:val="000000"/>
                      <w:lang w:eastAsia="sv-SE"/>
                    </w:rPr>
                  </w:pPr>
                  <w:r w:rsidRPr="00561566">
                    <w:rPr>
                      <w:color w:val="000000"/>
                      <w:lang w:eastAsia="sv-SE"/>
                    </w:rPr>
                    <w:t>-</w:t>
                  </w:r>
                </w:p>
              </w:tc>
            </w:tr>
          </w:tbl>
          <w:p w:rsidR="0056011F" w:rsidRPr="00561566" w:rsidRDefault="0056011F" w:rsidP="0071552F">
            <w:pPr>
              <w:spacing w:after="0" w:line="240" w:lineRule="auto"/>
            </w:pPr>
          </w:p>
          <w:p w:rsidR="00561566" w:rsidRPr="00561566" w:rsidRDefault="00561566" w:rsidP="0056156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sv-SE"/>
              </w:rPr>
            </w:pPr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sv-SE"/>
              </w:rPr>
              <w:t>*</w:t>
            </w:r>
            <w:r w:rsidRPr="00561566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sv-SE"/>
              </w:rPr>
              <w:t xml:space="preserve">Return fuels consist of sorted and quality-controlled paper, wood and plastic that </w:t>
            </w:r>
            <w:proofErr w:type="spellStart"/>
            <w:r w:rsidRPr="00561566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sv-SE"/>
              </w:rPr>
              <w:t>can not</w:t>
            </w:r>
            <w:proofErr w:type="spellEnd"/>
            <w:r w:rsidRPr="00561566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sv-SE"/>
              </w:rPr>
              <w:t xml:space="preserve"> be recycled and come from offices, shops and industries</w:t>
            </w:r>
          </w:p>
          <w:p w:rsidR="00561566" w:rsidRPr="00561566" w:rsidRDefault="00561566" w:rsidP="0071552F">
            <w:pPr>
              <w:spacing w:after="0" w:line="240" w:lineRule="auto"/>
            </w:pPr>
          </w:p>
          <w:p w:rsidR="00561566" w:rsidRPr="00561566" w:rsidRDefault="00561566" w:rsidP="00561566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</w:rPr>
            </w:pPr>
            <w:r w:rsidRPr="00561566">
              <w:rPr>
                <w:rFonts w:ascii="inherit" w:hAnsi="inherit"/>
                <w:color w:val="212121"/>
                <w:sz w:val="22"/>
                <w:lang w:val="en"/>
              </w:rPr>
              <w:t xml:space="preserve">The biggest difference is that tiles and wood pellets according to VMK (as used by Fortum </w:t>
            </w:r>
            <w:proofErr w:type="spellStart"/>
            <w:r w:rsidRPr="00561566">
              <w:rPr>
                <w:rFonts w:ascii="inherit" w:hAnsi="inherit"/>
                <w:color w:val="212121"/>
                <w:sz w:val="22"/>
                <w:lang w:val="en"/>
              </w:rPr>
              <w:t>Värme</w:t>
            </w:r>
            <w:proofErr w:type="spellEnd"/>
            <w:r w:rsidRPr="00561566">
              <w:rPr>
                <w:rFonts w:ascii="inherit" w:hAnsi="inherit"/>
                <w:color w:val="212121"/>
                <w:sz w:val="22"/>
                <w:lang w:val="en"/>
              </w:rPr>
              <w:t>) are considered secondary fuels while Swedish DES Calc. Meth blends biofuels into a primary fuel mail.</w:t>
            </w:r>
          </w:p>
          <w:p w:rsidR="0056011F" w:rsidRPr="00114A50" w:rsidRDefault="0056011F" w:rsidP="0071552F">
            <w:pPr>
              <w:spacing w:after="0" w:line="240" w:lineRule="auto"/>
              <w:rPr>
                <w:lang w:val="sv-SE"/>
              </w:rPr>
            </w:pPr>
          </w:p>
        </w:tc>
      </w:tr>
      <w:tr w:rsidR="0056011F" w:rsidRPr="0071552F" w:rsidTr="00BB385F">
        <w:trPr>
          <w:trHeight w:val="836"/>
        </w:trPr>
        <w:tc>
          <w:tcPr>
            <w:tcW w:w="3227" w:type="dxa"/>
            <w:vMerge/>
          </w:tcPr>
          <w:p w:rsidR="0056011F" w:rsidRPr="0071552F" w:rsidRDefault="0056011F" w:rsidP="0071552F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6395" w:type="dxa"/>
          </w:tcPr>
          <w:p w:rsidR="0056011F" w:rsidRPr="0071552F" w:rsidRDefault="0056011F" w:rsidP="0071552F">
            <w:pPr>
              <w:spacing w:after="0" w:line="240" w:lineRule="auto"/>
            </w:pPr>
            <w:r w:rsidRPr="0071552F">
              <w:t xml:space="preserve">Additional PEF can be found in the appendix to the </w:t>
            </w:r>
          </w:p>
          <w:p w:rsidR="0056011F" w:rsidRPr="0071552F" w:rsidRDefault="0056011F" w:rsidP="0071670D">
            <w:pPr>
              <w:spacing w:after="0" w:line="240" w:lineRule="auto"/>
            </w:pPr>
            <w:r w:rsidRPr="0071552F">
              <w:t>“</w:t>
            </w:r>
            <w:r w:rsidRPr="0071552F">
              <w:rPr>
                <w:i/>
              </w:rPr>
              <w:t>VMK-agreement</w:t>
            </w:r>
            <w:r w:rsidRPr="0071552F">
              <w:t xml:space="preserve"> </w:t>
            </w:r>
            <w:r w:rsidRPr="0071552F">
              <w:rPr>
                <w:rStyle w:val="FootnoteReference"/>
              </w:rPr>
              <w:footnoteReference w:id="1"/>
            </w:r>
            <w:r w:rsidRPr="0071552F">
              <w:t>“or in the “</w:t>
            </w:r>
            <w:proofErr w:type="spellStart"/>
            <w:r w:rsidRPr="0071552F">
              <w:t>Miljöfaktabok</w:t>
            </w:r>
            <w:proofErr w:type="spellEnd"/>
            <w:r w:rsidRPr="0071552F">
              <w:t xml:space="preserve"> 201</w:t>
            </w:r>
            <w:r w:rsidR="0071670D">
              <w:t>6</w:t>
            </w:r>
            <w:r w:rsidRPr="0071552F">
              <w:t>- Estimated emission factors for fuels, electricity, heat and transport in Sweden</w:t>
            </w:r>
            <w:r w:rsidRPr="0071552F">
              <w:rPr>
                <w:vertAlign w:val="superscript"/>
              </w:rPr>
              <w:t>2”</w:t>
            </w:r>
          </w:p>
        </w:tc>
      </w:tr>
      <w:tr w:rsidR="0056011F" w:rsidRPr="0071552F" w:rsidTr="00BB385F">
        <w:trPr>
          <w:trHeight w:val="431"/>
        </w:trPr>
        <w:tc>
          <w:tcPr>
            <w:tcW w:w="3227" w:type="dxa"/>
            <w:vMerge w:val="restart"/>
          </w:tcPr>
          <w:p w:rsidR="0056011F" w:rsidRPr="0071552F" w:rsidRDefault="0056011F" w:rsidP="0071552F">
            <w:pPr>
              <w:spacing w:after="0" w:line="240" w:lineRule="auto"/>
            </w:pPr>
            <w:r w:rsidRPr="0071552F">
              <w:t>Total amount of produced heat in the specific combined heat and power plant.</w:t>
            </w:r>
          </w:p>
        </w:tc>
        <w:tc>
          <w:tcPr>
            <w:tcW w:w="6395" w:type="dxa"/>
          </w:tcPr>
          <w:p w:rsidR="0056011F" w:rsidRPr="0071552F" w:rsidRDefault="0056011F" w:rsidP="0071552F">
            <w:pPr>
              <w:spacing w:after="0" w:line="240" w:lineRule="auto"/>
            </w:pPr>
            <w:r w:rsidRPr="0071552F">
              <w:t>1) Heat produced [MWh/year]</w:t>
            </w:r>
          </w:p>
        </w:tc>
      </w:tr>
      <w:tr w:rsidR="0056011F" w:rsidRPr="0071552F" w:rsidTr="00A976C9">
        <w:trPr>
          <w:trHeight w:val="761"/>
        </w:trPr>
        <w:tc>
          <w:tcPr>
            <w:tcW w:w="3227" w:type="dxa"/>
            <w:vMerge/>
          </w:tcPr>
          <w:p w:rsidR="0056011F" w:rsidRPr="0071552F" w:rsidRDefault="0056011F" w:rsidP="0071552F">
            <w:pPr>
              <w:spacing w:after="0" w:line="240" w:lineRule="auto"/>
            </w:pPr>
          </w:p>
        </w:tc>
        <w:tc>
          <w:tcPr>
            <w:tcW w:w="6395" w:type="dxa"/>
          </w:tcPr>
          <w:p w:rsidR="0056011F" w:rsidRPr="0071552F" w:rsidRDefault="00682F90" w:rsidP="0071552F">
            <w:pPr>
              <w:spacing w:after="0" w:line="240" w:lineRule="auto"/>
            </w:pPr>
            <w:r>
              <w:rPr>
                <w:lang w:val="en-GB"/>
              </w:rPr>
              <w:t>4 457 857MWh (2016</w:t>
            </w:r>
            <w:r w:rsidR="0056011F" w:rsidRPr="00E16C4C">
              <w:rPr>
                <w:lang w:val="en-GB"/>
              </w:rPr>
              <w:t>)</w:t>
            </w:r>
          </w:p>
          <w:p w:rsidR="0056011F" w:rsidRPr="0071552F" w:rsidRDefault="0056011F" w:rsidP="0071552F">
            <w:pPr>
              <w:spacing w:after="0" w:line="240" w:lineRule="auto"/>
            </w:pPr>
          </w:p>
        </w:tc>
      </w:tr>
      <w:tr w:rsidR="0056011F" w:rsidRPr="0071552F" w:rsidTr="00BB385F">
        <w:trPr>
          <w:trHeight w:val="553"/>
        </w:trPr>
        <w:tc>
          <w:tcPr>
            <w:tcW w:w="3227" w:type="dxa"/>
            <w:vMerge w:val="restart"/>
          </w:tcPr>
          <w:p w:rsidR="0056011F" w:rsidRPr="0071552F" w:rsidRDefault="0056011F" w:rsidP="0071552F">
            <w:pPr>
              <w:spacing w:after="0" w:line="240" w:lineRule="auto"/>
            </w:pPr>
            <w:r w:rsidRPr="0071552F">
              <w:t>Total amount of produced electricity, without deduction of auxiliary electricity, in the specific combined heat and power plant.</w:t>
            </w:r>
          </w:p>
        </w:tc>
        <w:tc>
          <w:tcPr>
            <w:tcW w:w="6395" w:type="dxa"/>
          </w:tcPr>
          <w:p w:rsidR="0056011F" w:rsidRPr="0071552F" w:rsidRDefault="0056011F" w:rsidP="0071552F">
            <w:pPr>
              <w:spacing w:after="0" w:line="240" w:lineRule="auto"/>
            </w:pPr>
            <w:r w:rsidRPr="0071552F">
              <w:t>1) Electricity produced [MWh/year]</w:t>
            </w:r>
          </w:p>
        </w:tc>
      </w:tr>
      <w:tr w:rsidR="0056011F" w:rsidRPr="0071552F" w:rsidTr="00A976C9">
        <w:trPr>
          <w:trHeight w:val="992"/>
        </w:trPr>
        <w:tc>
          <w:tcPr>
            <w:tcW w:w="3227" w:type="dxa"/>
            <w:vMerge/>
          </w:tcPr>
          <w:p w:rsidR="0056011F" w:rsidRPr="0071552F" w:rsidRDefault="0056011F" w:rsidP="0071552F">
            <w:pPr>
              <w:spacing w:after="0" w:line="240" w:lineRule="auto"/>
            </w:pPr>
          </w:p>
        </w:tc>
        <w:tc>
          <w:tcPr>
            <w:tcW w:w="6395" w:type="dxa"/>
          </w:tcPr>
          <w:p w:rsidR="0056011F" w:rsidRPr="00E16C4C" w:rsidRDefault="0056011F" w:rsidP="0071552F">
            <w:pPr>
              <w:spacing w:after="0" w:line="240" w:lineRule="auto"/>
              <w:rPr>
                <w:b/>
                <w:lang w:val="en-GB"/>
              </w:rPr>
            </w:pPr>
          </w:p>
          <w:p w:rsidR="0056011F" w:rsidRPr="00E16C4C" w:rsidRDefault="0056011F" w:rsidP="0071552F">
            <w:pPr>
              <w:spacing w:after="0" w:line="240" w:lineRule="auto"/>
              <w:rPr>
                <w:b/>
                <w:lang w:val="en-GB"/>
              </w:rPr>
            </w:pPr>
          </w:p>
          <w:p w:rsidR="0056011F" w:rsidRPr="00E16C4C" w:rsidRDefault="00682F90" w:rsidP="0071552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813 058</w:t>
            </w:r>
            <w:r w:rsidR="0056011F" w:rsidRPr="00E16C4C">
              <w:rPr>
                <w:lang w:val="en-GB"/>
              </w:rPr>
              <w:t xml:space="preserve"> MWh</w:t>
            </w:r>
            <w:r w:rsidR="0056011F">
              <w:rPr>
                <w:lang w:val="en-GB"/>
              </w:rPr>
              <w:t xml:space="preserve"> </w:t>
            </w:r>
            <w:r>
              <w:rPr>
                <w:lang w:val="en-GB"/>
              </w:rPr>
              <w:t>(2016</w:t>
            </w:r>
            <w:r w:rsidR="0056011F" w:rsidRPr="00E16C4C">
              <w:rPr>
                <w:lang w:val="en-GB"/>
              </w:rPr>
              <w:t>)</w:t>
            </w:r>
          </w:p>
        </w:tc>
      </w:tr>
      <w:tr w:rsidR="0056011F" w:rsidRPr="0071552F" w:rsidTr="00BB385F">
        <w:trPr>
          <w:trHeight w:val="412"/>
        </w:trPr>
        <w:tc>
          <w:tcPr>
            <w:tcW w:w="3227" w:type="dxa"/>
            <w:vMerge w:val="restart"/>
          </w:tcPr>
          <w:p w:rsidR="0056011F" w:rsidRPr="0071552F" w:rsidRDefault="0056011F" w:rsidP="0071552F">
            <w:pPr>
              <w:spacing w:after="0" w:line="240" w:lineRule="auto"/>
            </w:pPr>
            <w:r w:rsidRPr="0071552F">
              <w:t>The total delivered district heating to all customers in the district heating network.</w:t>
            </w:r>
          </w:p>
        </w:tc>
        <w:tc>
          <w:tcPr>
            <w:tcW w:w="6395" w:type="dxa"/>
          </w:tcPr>
          <w:p w:rsidR="0056011F" w:rsidRPr="0071552F" w:rsidRDefault="0056011F" w:rsidP="0071552F">
            <w:pPr>
              <w:spacing w:after="0" w:line="240" w:lineRule="auto"/>
            </w:pPr>
            <w:r w:rsidRPr="0071552F">
              <w:t>1) Heat delivered [MWh/year]</w:t>
            </w:r>
          </w:p>
        </w:tc>
      </w:tr>
      <w:tr w:rsidR="0056011F" w:rsidRPr="0071552F" w:rsidTr="00A976C9">
        <w:trPr>
          <w:trHeight w:val="984"/>
        </w:trPr>
        <w:tc>
          <w:tcPr>
            <w:tcW w:w="3227" w:type="dxa"/>
            <w:vMerge/>
          </w:tcPr>
          <w:p w:rsidR="0056011F" w:rsidRPr="0071552F" w:rsidRDefault="0056011F" w:rsidP="0071552F">
            <w:pPr>
              <w:spacing w:after="0" w:line="240" w:lineRule="auto"/>
            </w:pPr>
          </w:p>
        </w:tc>
        <w:tc>
          <w:tcPr>
            <w:tcW w:w="6395" w:type="dxa"/>
          </w:tcPr>
          <w:p w:rsidR="0056011F" w:rsidRPr="0071552F" w:rsidRDefault="0056011F" w:rsidP="0071552F">
            <w:pPr>
              <w:spacing w:after="0" w:line="240" w:lineRule="auto"/>
            </w:pPr>
          </w:p>
          <w:p w:rsidR="0056011F" w:rsidRPr="00905498" w:rsidRDefault="0056011F" w:rsidP="00C769DD">
            <w:pPr>
              <w:spacing w:after="0" w:line="240" w:lineRule="auto"/>
            </w:pPr>
            <w:r w:rsidRPr="00905498">
              <w:t>Total heating delivered in heating network (201</w:t>
            </w:r>
            <w:r w:rsidR="00C769DD">
              <w:t>6</w:t>
            </w:r>
            <w:r w:rsidRPr="00905498">
              <w:t xml:space="preserve">): </w:t>
            </w:r>
            <w:r w:rsidR="00C769DD" w:rsidRPr="00C769DD">
              <w:t>7</w:t>
            </w:r>
            <w:r w:rsidR="00C769DD">
              <w:t> 812</w:t>
            </w:r>
            <w:r w:rsidRPr="00905498">
              <w:t xml:space="preserve"> </w:t>
            </w:r>
            <w:proofErr w:type="spellStart"/>
            <w:r w:rsidRPr="00905498">
              <w:rPr>
                <w:b/>
                <w:u w:val="single"/>
              </w:rPr>
              <w:t>GWh</w:t>
            </w:r>
            <w:proofErr w:type="spellEnd"/>
            <w:r w:rsidRPr="00905498">
              <w:t>/year</w:t>
            </w:r>
          </w:p>
        </w:tc>
      </w:tr>
      <w:tr w:rsidR="0056011F" w:rsidRPr="0071552F" w:rsidTr="0071552F">
        <w:trPr>
          <w:trHeight w:val="673"/>
        </w:trPr>
        <w:tc>
          <w:tcPr>
            <w:tcW w:w="9622" w:type="dxa"/>
            <w:gridSpan w:val="2"/>
          </w:tcPr>
          <w:p w:rsidR="0056011F" w:rsidRPr="0071552F" w:rsidRDefault="0056011F" w:rsidP="0071552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1319B5">
              <w:lastRenderedPageBreak/>
              <w:br w:type="page"/>
            </w:r>
            <w:bookmarkStart w:id="1" w:name="_Hlk336516680"/>
            <w:r w:rsidRPr="0071552F">
              <w:rPr>
                <w:rFonts w:cs="Calibri"/>
                <w:b/>
                <w:bCs/>
                <w:color w:val="000000"/>
              </w:rPr>
              <w:t>For district cooling additional information is needed. That is;</w:t>
            </w:r>
          </w:p>
        </w:tc>
      </w:tr>
      <w:tr w:rsidR="0056011F" w:rsidRPr="0071552F" w:rsidTr="0071552F">
        <w:trPr>
          <w:trHeight w:val="435"/>
        </w:trPr>
        <w:tc>
          <w:tcPr>
            <w:tcW w:w="3227" w:type="dxa"/>
            <w:vMerge w:val="restart"/>
          </w:tcPr>
          <w:p w:rsidR="0056011F" w:rsidRPr="0071552F" w:rsidRDefault="0056011F" w:rsidP="0071552F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71552F">
              <w:rPr>
                <w:rFonts w:cs="Calibri"/>
                <w:bCs/>
                <w:color w:val="000000"/>
              </w:rPr>
              <w:t xml:space="preserve">The amount of electricity used to produce the cooling (including both the </w:t>
            </w:r>
            <w:bookmarkStart w:id="2" w:name="OLE_LINK1"/>
            <w:bookmarkStart w:id="3" w:name="OLE_LINK2"/>
            <w:r w:rsidRPr="0071552F">
              <w:rPr>
                <w:rFonts w:cs="Calibri"/>
                <w:bCs/>
                <w:color w:val="000000"/>
              </w:rPr>
              <w:t>auxiliary</w:t>
            </w:r>
            <w:bookmarkEnd w:id="2"/>
            <w:bookmarkEnd w:id="3"/>
            <w:r w:rsidRPr="0071552F">
              <w:rPr>
                <w:rFonts w:cs="Calibri"/>
                <w:bCs/>
                <w:color w:val="000000"/>
              </w:rPr>
              <w:t xml:space="preserve"> electricity for circulation of the cold water in the DES and the electric energy needed for the heat pumps).</w:t>
            </w:r>
          </w:p>
        </w:tc>
        <w:tc>
          <w:tcPr>
            <w:tcW w:w="6395" w:type="dxa"/>
          </w:tcPr>
          <w:p w:rsidR="0056011F" w:rsidRPr="0071552F" w:rsidRDefault="0056011F" w:rsidP="0071552F">
            <w:pPr>
              <w:spacing w:after="0" w:line="240" w:lineRule="auto"/>
            </w:pPr>
            <w:r w:rsidRPr="0071552F">
              <w:t>1) Auxiliary electricity [MWh/year ]</w:t>
            </w:r>
          </w:p>
          <w:p w:rsidR="0056011F" w:rsidRPr="0071552F" w:rsidRDefault="0056011F" w:rsidP="0071552F">
            <w:pPr>
              <w:spacing w:after="0" w:line="240" w:lineRule="auto"/>
            </w:pPr>
          </w:p>
        </w:tc>
      </w:tr>
      <w:tr w:rsidR="0056011F" w:rsidRPr="0071552F" w:rsidTr="00A976C9">
        <w:trPr>
          <w:trHeight w:val="877"/>
        </w:trPr>
        <w:tc>
          <w:tcPr>
            <w:tcW w:w="3227" w:type="dxa"/>
            <w:vMerge/>
          </w:tcPr>
          <w:p w:rsidR="0056011F" w:rsidRPr="0071552F" w:rsidRDefault="0056011F" w:rsidP="0071552F">
            <w:pPr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  <w:tc>
          <w:tcPr>
            <w:tcW w:w="6395" w:type="dxa"/>
          </w:tcPr>
          <w:p w:rsidR="0056011F" w:rsidRPr="00D101E6" w:rsidRDefault="0056011F" w:rsidP="0071552F">
            <w:pPr>
              <w:spacing w:after="0" w:line="240" w:lineRule="auto"/>
              <w:rPr>
                <w:b/>
                <w:lang w:val="en-GB"/>
              </w:rPr>
            </w:pPr>
          </w:p>
          <w:p w:rsidR="0056011F" w:rsidRPr="00D101E6" w:rsidRDefault="0056011F" w:rsidP="0071552F">
            <w:pPr>
              <w:spacing w:after="0" w:line="240" w:lineRule="auto"/>
              <w:rPr>
                <w:lang w:val="en-GB"/>
              </w:rPr>
            </w:pPr>
          </w:p>
          <w:p w:rsidR="0056011F" w:rsidRPr="00D101E6" w:rsidRDefault="0071670D" w:rsidP="0071552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54 540 MWh (2016</w:t>
            </w:r>
            <w:r w:rsidR="0056011F" w:rsidRPr="00D101E6">
              <w:rPr>
                <w:lang w:val="en-GB"/>
              </w:rPr>
              <w:t>)</w:t>
            </w:r>
          </w:p>
        </w:tc>
      </w:tr>
      <w:tr w:rsidR="0056011F" w:rsidRPr="0071552F" w:rsidTr="0071552F">
        <w:trPr>
          <w:trHeight w:val="565"/>
        </w:trPr>
        <w:tc>
          <w:tcPr>
            <w:tcW w:w="3227" w:type="dxa"/>
            <w:vMerge/>
          </w:tcPr>
          <w:p w:rsidR="0056011F" w:rsidRPr="00D101E6" w:rsidRDefault="0056011F" w:rsidP="0071552F">
            <w:pPr>
              <w:spacing w:after="0" w:line="240" w:lineRule="auto"/>
              <w:rPr>
                <w:rFonts w:cs="Calibri"/>
                <w:bCs/>
                <w:color w:val="000000"/>
                <w:lang w:val="en-GB"/>
              </w:rPr>
            </w:pPr>
          </w:p>
        </w:tc>
        <w:tc>
          <w:tcPr>
            <w:tcW w:w="6395" w:type="dxa"/>
          </w:tcPr>
          <w:p w:rsidR="0056011F" w:rsidRPr="0071552F" w:rsidRDefault="0056011F" w:rsidP="0071552F">
            <w:pPr>
              <w:spacing w:after="0" w:line="240" w:lineRule="auto"/>
            </w:pPr>
            <w:r w:rsidRPr="0071552F">
              <w:t>2) Electricity used in combined heat pumps [MWh/year]</w:t>
            </w:r>
          </w:p>
        </w:tc>
      </w:tr>
      <w:tr w:rsidR="0056011F" w:rsidRPr="0071552F" w:rsidTr="00A976C9">
        <w:trPr>
          <w:trHeight w:val="840"/>
        </w:trPr>
        <w:tc>
          <w:tcPr>
            <w:tcW w:w="3227" w:type="dxa"/>
            <w:vMerge/>
          </w:tcPr>
          <w:p w:rsidR="0056011F" w:rsidRPr="0071552F" w:rsidRDefault="0056011F" w:rsidP="0071552F">
            <w:pPr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  <w:tc>
          <w:tcPr>
            <w:tcW w:w="6395" w:type="dxa"/>
          </w:tcPr>
          <w:p w:rsidR="0056011F" w:rsidRDefault="0056011F" w:rsidP="0071552F">
            <w:pPr>
              <w:spacing w:after="0" w:line="240" w:lineRule="auto"/>
            </w:pPr>
          </w:p>
          <w:p w:rsidR="0056011F" w:rsidRPr="00152E8B" w:rsidRDefault="0056011F" w:rsidP="0071552F">
            <w:pPr>
              <w:spacing w:after="0" w:line="240" w:lineRule="auto"/>
              <w:rPr>
                <w:lang w:val="en-GB"/>
              </w:rPr>
            </w:pPr>
            <w:r>
              <w:t xml:space="preserve">Combined heat pumps: </w:t>
            </w:r>
            <w:r w:rsidR="0071670D">
              <w:t>598 670</w:t>
            </w:r>
            <w:r>
              <w:t xml:space="preserve"> MWh </w:t>
            </w:r>
            <w:r w:rsidR="0071670D">
              <w:rPr>
                <w:lang w:val="en-GB"/>
              </w:rPr>
              <w:t>(2016</w:t>
            </w:r>
            <w:r w:rsidRPr="00152E8B">
              <w:rPr>
                <w:lang w:val="en-GB"/>
              </w:rPr>
              <w:t>)</w:t>
            </w:r>
          </w:p>
          <w:p w:rsidR="0056011F" w:rsidRDefault="0056011F" w:rsidP="0071552F">
            <w:pPr>
              <w:spacing w:after="0" w:line="240" w:lineRule="auto"/>
            </w:pPr>
            <w:r>
              <w:t>R</w:t>
            </w:r>
            <w:r w:rsidRPr="00152E8B">
              <w:t>efrigerating machine</w:t>
            </w:r>
            <w:r w:rsidR="0071670D">
              <w:t>s</w:t>
            </w:r>
            <w:r w:rsidR="00B546AD">
              <w:t>: 22 694</w:t>
            </w:r>
            <w:r w:rsidR="0071670D">
              <w:t xml:space="preserve"> </w:t>
            </w:r>
            <w:proofErr w:type="spellStart"/>
            <w:r w:rsidR="0071670D">
              <w:t>MVh</w:t>
            </w:r>
            <w:proofErr w:type="spellEnd"/>
            <w:r w:rsidR="0071670D">
              <w:t xml:space="preserve"> (2016</w:t>
            </w:r>
            <w:r>
              <w:t>)</w:t>
            </w:r>
          </w:p>
          <w:p w:rsidR="0056011F" w:rsidRPr="00183E15" w:rsidRDefault="0056011F" w:rsidP="0071552F">
            <w:pPr>
              <w:spacing w:after="0" w:line="240" w:lineRule="auto"/>
            </w:pPr>
          </w:p>
        </w:tc>
      </w:tr>
      <w:tr w:rsidR="0056011F" w:rsidRPr="0071552F" w:rsidTr="0071552F">
        <w:trPr>
          <w:trHeight w:val="417"/>
        </w:trPr>
        <w:tc>
          <w:tcPr>
            <w:tcW w:w="3227" w:type="dxa"/>
            <w:vMerge w:val="restart"/>
          </w:tcPr>
          <w:p w:rsidR="0056011F" w:rsidRPr="0071552F" w:rsidRDefault="0056011F" w:rsidP="0071552F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71552F">
              <w:rPr>
                <w:rFonts w:cs="Calibri"/>
                <w:bCs/>
                <w:color w:val="000000"/>
              </w:rPr>
              <w:t>Produced heat and cooling in heat pumps</w:t>
            </w:r>
          </w:p>
        </w:tc>
        <w:tc>
          <w:tcPr>
            <w:tcW w:w="6395" w:type="dxa"/>
          </w:tcPr>
          <w:p w:rsidR="0056011F" w:rsidRPr="0071552F" w:rsidRDefault="0056011F" w:rsidP="0071552F">
            <w:pPr>
              <w:spacing w:after="0" w:line="240" w:lineRule="auto"/>
            </w:pPr>
            <w:r w:rsidRPr="0071552F">
              <w:t>1) Total produced Heat [MWh/year]</w:t>
            </w:r>
          </w:p>
        </w:tc>
      </w:tr>
      <w:tr w:rsidR="0056011F" w:rsidRPr="0071552F" w:rsidTr="00A976C9">
        <w:trPr>
          <w:trHeight w:val="876"/>
        </w:trPr>
        <w:tc>
          <w:tcPr>
            <w:tcW w:w="3227" w:type="dxa"/>
            <w:vMerge/>
          </w:tcPr>
          <w:p w:rsidR="0056011F" w:rsidRPr="0071552F" w:rsidRDefault="0056011F" w:rsidP="0071552F">
            <w:pPr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  <w:tc>
          <w:tcPr>
            <w:tcW w:w="6395" w:type="dxa"/>
          </w:tcPr>
          <w:p w:rsidR="0056011F" w:rsidRPr="000208CD" w:rsidRDefault="0056011F" w:rsidP="0071552F">
            <w:pPr>
              <w:spacing w:after="0" w:line="240" w:lineRule="auto"/>
            </w:pPr>
          </w:p>
          <w:p w:rsidR="0056011F" w:rsidRPr="000208CD" w:rsidRDefault="00B546AD" w:rsidP="0071552F">
            <w:pPr>
              <w:spacing w:after="0" w:line="240" w:lineRule="auto"/>
            </w:pPr>
            <w:r>
              <w:t>2 195 967</w:t>
            </w:r>
            <w:r w:rsidR="0056011F" w:rsidRPr="009261AD">
              <w:rPr>
                <w:lang w:val="en-GB"/>
              </w:rPr>
              <w:t xml:space="preserve"> </w:t>
            </w:r>
            <w:r>
              <w:t>MWh (2016</w:t>
            </w:r>
            <w:r w:rsidR="0056011F" w:rsidRPr="000208CD">
              <w:t>)</w:t>
            </w:r>
          </w:p>
        </w:tc>
      </w:tr>
      <w:tr w:rsidR="0056011F" w:rsidRPr="0071552F" w:rsidTr="0071552F">
        <w:trPr>
          <w:trHeight w:val="418"/>
        </w:trPr>
        <w:tc>
          <w:tcPr>
            <w:tcW w:w="3227" w:type="dxa"/>
            <w:vMerge/>
          </w:tcPr>
          <w:p w:rsidR="0056011F" w:rsidRPr="000208CD" w:rsidRDefault="0056011F" w:rsidP="0071552F">
            <w:pPr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  <w:tc>
          <w:tcPr>
            <w:tcW w:w="6395" w:type="dxa"/>
          </w:tcPr>
          <w:p w:rsidR="0056011F" w:rsidRPr="0071552F" w:rsidRDefault="0056011F" w:rsidP="0071552F">
            <w:pPr>
              <w:spacing w:after="0" w:line="240" w:lineRule="auto"/>
            </w:pPr>
            <w:r w:rsidRPr="0071552F">
              <w:t>2) Total produced cooling [MWh/year]</w:t>
            </w:r>
          </w:p>
        </w:tc>
      </w:tr>
      <w:tr w:rsidR="0056011F" w:rsidRPr="00A976C9" w:rsidTr="00A976C9">
        <w:trPr>
          <w:trHeight w:val="1419"/>
        </w:trPr>
        <w:tc>
          <w:tcPr>
            <w:tcW w:w="3227" w:type="dxa"/>
            <w:vMerge/>
          </w:tcPr>
          <w:p w:rsidR="0056011F" w:rsidRPr="0071552F" w:rsidRDefault="0056011F" w:rsidP="0071552F">
            <w:pPr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  <w:tc>
          <w:tcPr>
            <w:tcW w:w="6395" w:type="dxa"/>
          </w:tcPr>
          <w:p w:rsidR="0056011F" w:rsidRDefault="0056011F" w:rsidP="0071552F">
            <w:pPr>
              <w:spacing w:after="0" w:line="240" w:lineRule="auto"/>
              <w:rPr>
                <w:lang w:val="en-GB"/>
              </w:rPr>
            </w:pPr>
          </w:p>
          <w:p w:rsidR="00A976C9" w:rsidRDefault="0056011F" w:rsidP="00A976C9">
            <w:pPr>
              <w:spacing w:after="0" w:line="240" w:lineRule="auto"/>
            </w:pPr>
            <w:r>
              <w:t xml:space="preserve">Combined heat pumps </w:t>
            </w:r>
            <w:r w:rsidR="00A976C9">
              <w:t>103 600</w:t>
            </w:r>
            <w:r w:rsidRPr="00D52ABE">
              <w:t xml:space="preserve"> +</w:t>
            </w:r>
            <w:r>
              <w:t xml:space="preserve"> waste cooling </w:t>
            </w:r>
            <w:r w:rsidR="00A976C9">
              <w:t>125 800</w:t>
            </w:r>
            <w:r>
              <w:t xml:space="preserve"> </w:t>
            </w:r>
            <w:r w:rsidR="00A976C9">
              <w:t>= 229 400 MWh (2016)</w:t>
            </w:r>
          </w:p>
          <w:p w:rsidR="00A976C9" w:rsidRDefault="00A976C9" w:rsidP="00A976C9">
            <w:pPr>
              <w:spacing w:after="0" w:line="240" w:lineRule="auto"/>
            </w:pPr>
          </w:p>
          <w:p w:rsidR="0056011F" w:rsidRPr="00A976C9" w:rsidRDefault="00B546AD" w:rsidP="00A976C9">
            <w:pPr>
              <w:spacing w:after="0" w:line="240" w:lineRule="auto"/>
            </w:pPr>
            <w:r>
              <w:t xml:space="preserve">+ Free cooling </w:t>
            </w:r>
            <w:r w:rsidR="0056011F" w:rsidRPr="00D52ABE">
              <w:t xml:space="preserve"> </w:t>
            </w:r>
            <w:r w:rsidR="00A976C9">
              <w:t>51 800 + cooling machines</w:t>
            </w:r>
            <w:r w:rsidR="0056011F" w:rsidRPr="00A976C9">
              <w:t xml:space="preserve">  </w:t>
            </w:r>
            <w:r w:rsidR="00A976C9">
              <w:t>88 800</w:t>
            </w:r>
            <w:r w:rsidR="0056011F" w:rsidRPr="00A976C9">
              <w:t xml:space="preserve"> = </w:t>
            </w:r>
            <w:r w:rsidR="00A976C9">
              <w:t>total 370 000 MWh</w:t>
            </w:r>
            <w:r w:rsidR="0056011F" w:rsidRPr="00A976C9">
              <w:t xml:space="preserve"> </w:t>
            </w:r>
          </w:p>
        </w:tc>
      </w:tr>
      <w:bookmarkEnd w:id="1"/>
      <w:tr w:rsidR="0056011F" w:rsidRPr="0071552F" w:rsidTr="0071552F">
        <w:trPr>
          <w:trHeight w:val="416"/>
        </w:trPr>
        <w:tc>
          <w:tcPr>
            <w:tcW w:w="3227" w:type="dxa"/>
            <w:vMerge w:val="restart"/>
          </w:tcPr>
          <w:p w:rsidR="0056011F" w:rsidRPr="0071552F" w:rsidRDefault="0056011F" w:rsidP="0071552F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A976C9">
              <w:br w:type="page"/>
            </w:r>
            <w:r w:rsidRPr="0071552F">
              <w:rPr>
                <w:rFonts w:cs="Calibri"/>
                <w:bCs/>
                <w:color w:val="000000"/>
              </w:rPr>
              <w:t>The amount of heat energy used to produce cooling in absorption chillers. In best case monthly amounts are used and summarized for one year.</w:t>
            </w:r>
          </w:p>
        </w:tc>
        <w:tc>
          <w:tcPr>
            <w:tcW w:w="6395" w:type="dxa"/>
          </w:tcPr>
          <w:p w:rsidR="0056011F" w:rsidRPr="0071552F" w:rsidRDefault="0056011F" w:rsidP="0071552F">
            <w:pPr>
              <w:spacing w:after="0" w:line="240" w:lineRule="auto"/>
            </w:pPr>
            <w:r w:rsidRPr="0071552F">
              <w:t>1) Heat month, Jan - Dec [MWh/month]</w:t>
            </w:r>
          </w:p>
          <w:p w:rsidR="0056011F" w:rsidRPr="0071552F" w:rsidRDefault="0056011F" w:rsidP="0071552F">
            <w:pPr>
              <w:spacing w:after="0" w:line="240" w:lineRule="auto"/>
            </w:pPr>
          </w:p>
        </w:tc>
      </w:tr>
      <w:tr w:rsidR="0056011F" w:rsidRPr="0071552F" w:rsidTr="0071552F">
        <w:trPr>
          <w:trHeight w:val="992"/>
        </w:trPr>
        <w:tc>
          <w:tcPr>
            <w:tcW w:w="3227" w:type="dxa"/>
            <w:vMerge/>
          </w:tcPr>
          <w:p w:rsidR="0056011F" w:rsidRPr="0071552F" w:rsidRDefault="0056011F" w:rsidP="0071552F">
            <w:pPr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  <w:tc>
          <w:tcPr>
            <w:tcW w:w="6395" w:type="dxa"/>
          </w:tcPr>
          <w:p w:rsidR="0056011F" w:rsidRPr="0071552F" w:rsidRDefault="0056011F" w:rsidP="0071552F">
            <w:pPr>
              <w:spacing w:after="0" w:line="240" w:lineRule="auto"/>
              <w:rPr>
                <w:i/>
              </w:rPr>
            </w:pPr>
            <w:r w:rsidRPr="0071552F">
              <w:rPr>
                <w:i/>
              </w:rPr>
              <w:t>Fortum does not have any</w:t>
            </w:r>
            <w:r w:rsidRPr="0071552F">
              <w:rPr>
                <w:rFonts w:cs="Calibri"/>
                <w:bCs/>
                <w:i/>
                <w:color w:val="000000"/>
              </w:rPr>
              <w:t xml:space="preserve"> absorption chillers in its network.</w:t>
            </w:r>
          </w:p>
          <w:p w:rsidR="0056011F" w:rsidRPr="0071552F" w:rsidRDefault="0056011F" w:rsidP="0071552F">
            <w:pPr>
              <w:spacing w:after="0" w:line="240" w:lineRule="auto"/>
            </w:pPr>
          </w:p>
        </w:tc>
      </w:tr>
      <w:tr w:rsidR="0056011F" w:rsidRPr="0071552F" w:rsidTr="0071552F">
        <w:trPr>
          <w:trHeight w:val="566"/>
        </w:trPr>
        <w:tc>
          <w:tcPr>
            <w:tcW w:w="3227" w:type="dxa"/>
            <w:vMerge/>
          </w:tcPr>
          <w:p w:rsidR="0056011F" w:rsidRPr="0071552F" w:rsidRDefault="0056011F" w:rsidP="0071552F">
            <w:pPr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  <w:tc>
          <w:tcPr>
            <w:tcW w:w="6395" w:type="dxa"/>
          </w:tcPr>
          <w:p w:rsidR="0056011F" w:rsidRPr="0071552F" w:rsidRDefault="0056011F" w:rsidP="0071552F">
            <w:pPr>
              <w:spacing w:after="0" w:line="240" w:lineRule="auto"/>
            </w:pPr>
            <w:r w:rsidRPr="0071552F">
              <w:t>2) Monthly Production Scheme [Fuel type, MWh, production type]</w:t>
            </w:r>
          </w:p>
        </w:tc>
      </w:tr>
      <w:tr w:rsidR="0056011F" w:rsidRPr="0071552F" w:rsidTr="0071552F">
        <w:trPr>
          <w:trHeight w:val="1275"/>
        </w:trPr>
        <w:tc>
          <w:tcPr>
            <w:tcW w:w="3227" w:type="dxa"/>
            <w:vMerge/>
          </w:tcPr>
          <w:p w:rsidR="0056011F" w:rsidRPr="0071552F" w:rsidRDefault="0056011F" w:rsidP="0071552F">
            <w:pPr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  <w:tc>
          <w:tcPr>
            <w:tcW w:w="6395" w:type="dxa"/>
          </w:tcPr>
          <w:p w:rsidR="0056011F" w:rsidRPr="0071552F" w:rsidRDefault="0056011F" w:rsidP="0071552F">
            <w:pPr>
              <w:spacing w:after="0" w:line="240" w:lineRule="auto"/>
              <w:rPr>
                <w:i/>
              </w:rPr>
            </w:pPr>
            <w:r w:rsidRPr="0071552F">
              <w:rPr>
                <w:i/>
              </w:rPr>
              <w:t>Fortum does not have any</w:t>
            </w:r>
            <w:r w:rsidRPr="0071552F">
              <w:rPr>
                <w:rFonts w:cs="Calibri"/>
                <w:bCs/>
                <w:i/>
                <w:color w:val="000000"/>
              </w:rPr>
              <w:t xml:space="preserve"> absorption chillers in its network.</w:t>
            </w:r>
          </w:p>
          <w:p w:rsidR="0056011F" w:rsidRPr="0071552F" w:rsidRDefault="0056011F" w:rsidP="0071552F">
            <w:pPr>
              <w:spacing w:after="0" w:line="240" w:lineRule="auto"/>
            </w:pPr>
          </w:p>
        </w:tc>
      </w:tr>
    </w:tbl>
    <w:p w:rsidR="0056011F" w:rsidRPr="00EB073D" w:rsidRDefault="0056011F"/>
    <w:sectPr w:rsidR="0056011F" w:rsidRPr="00EB073D" w:rsidSect="004C79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2" w:right="1417" w:bottom="709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11F" w:rsidRDefault="0056011F" w:rsidP="00217624">
      <w:pPr>
        <w:spacing w:after="0" w:line="240" w:lineRule="auto"/>
      </w:pPr>
      <w:r>
        <w:separator/>
      </w:r>
    </w:p>
  </w:endnote>
  <w:endnote w:type="continuationSeparator" w:id="0">
    <w:p w:rsidR="0056011F" w:rsidRDefault="0056011F" w:rsidP="00217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792" w:rsidRDefault="003C77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11F" w:rsidRPr="00A74522" w:rsidRDefault="0056011F">
    <w:pPr>
      <w:pStyle w:val="Footer"/>
      <w:jc w:val="right"/>
    </w:pPr>
    <w:r w:rsidRPr="00A74522">
      <w:rPr>
        <w:lang w:val="sv-SE"/>
      </w:rPr>
      <w:t xml:space="preserve">Sida </w:t>
    </w:r>
    <w:r w:rsidRPr="00A74522">
      <w:rPr>
        <w:bCs/>
      </w:rPr>
      <w:fldChar w:fldCharType="begin"/>
    </w:r>
    <w:r w:rsidRPr="00A74522">
      <w:rPr>
        <w:bCs/>
      </w:rPr>
      <w:instrText>PAGE</w:instrText>
    </w:r>
    <w:r w:rsidRPr="00A74522">
      <w:rPr>
        <w:bCs/>
      </w:rPr>
      <w:fldChar w:fldCharType="separate"/>
    </w:r>
    <w:r w:rsidR="00187E42">
      <w:rPr>
        <w:bCs/>
        <w:noProof/>
      </w:rPr>
      <w:t>1</w:t>
    </w:r>
    <w:r w:rsidRPr="00A74522">
      <w:rPr>
        <w:bCs/>
      </w:rPr>
      <w:fldChar w:fldCharType="end"/>
    </w:r>
    <w:r w:rsidRPr="00A74522">
      <w:rPr>
        <w:lang w:val="sv-SE"/>
      </w:rPr>
      <w:t xml:space="preserve"> av </w:t>
    </w:r>
    <w:r w:rsidRPr="00A74522">
      <w:rPr>
        <w:bCs/>
      </w:rPr>
      <w:fldChar w:fldCharType="begin"/>
    </w:r>
    <w:r w:rsidRPr="00A74522">
      <w:rPr>
        <w:bCs/>
      </w:rPr>
      <w:instrText>NUMPAGES</w:instrText>
    </w:r>
    <w:r w:rsidRPr="00A74522">
      <w:rPr>
        <w:bCs/>
      </w:rPr>
      <w:fldChar w:fldCharType="separate"/>
    </w:r>
    <w:r w:rsidR="00187E42">
      <w:rPr>
        <w:bCs/>
        <w:noProof/>
      </w:rPr>
      <w:t>3</w:t>
    </w:r>
    <w:r w:rsidRPr="00A74522">
      <w:rPr>
        <w:bCs/>
      </w:rPr>
      <w:fldChar w:fldCharType="end"/>
    </w:r>
  </w:p>
  <w:p w:rsidR="0056011F" w:rsidRDefault="005601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792" w:rsidRDefault="003C77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11F" w:rsidRDefault="0056011F" w:rsidP="00217624">
      <w:pPr>
        <w:spacing w:after="0" w:line="240" w:lineRule="auto"/>
      </w:pPr>
      <w:r>
        <w:separator/>
      </w:r>
    </w:p>
  </w:footnote>
  <w:footnote w:type="continuationSeparator" w:id="0">
    <w:p w:rsidR="0056011F" w:rsidRDefault="0056011F" w:rsidP="00217624">
      <w:pPr>
        <w:spacing w:after="0" w:line="240" w:lineRule="auto"/>
      </w:pPr>
      <w:r>
        <w:continuationSeparator/>
      </w:r>
    </w:p>
  </w:footnote>
  <w:footnote w:id="1">
    <w:p w:rsidR="0056011F" w:rsidRPr="0071670D" w:rsidRDefault="0056011F" w:rsidP="00C243A2">
      <w:pPr>
        <w:pStyle w:val="FootnoteText"/>
        <w:rPr>
          <w:rStyle w:val="Hyperlink"/>
          <w:lang w:val="sv-SE"/>
        </w:rPr>
      </w:pPr>
      <w:r>
        <w:rPr>
          <w:rStyle w:val="FootnoteReference"/>
        </w:rPr>
        <w:footnoteRef/>
      </w:r>
      <w:r w:rsidRPr="008579CF">
        <w:rPr>
          <w:lang w:val="sv-SE"/>
        </w:rPr>
        <w:t xml:space="preserve"> </w:t>
      </w:r>
      <w:r w:rsidRPr="008579CF">
        <w:rPr>
          <w:i/>
          <w:lang w:val="sv-SE"/>
        </w:rPr>
        <w:t>Överenskommelse i värmemarknadskommittén om synen på bokförda miljövärden för fastigheter uppvärmda med fjärrvärme.</w:t>
      </w:r>
      <w:r w:rsidR="0071670D" w:rsidRPr="0071670D">
        <w:rPr>
          <w:rStyle w:val="Hyperlink"/>
          <w:lang w:val="sv-SE"/>
        </w:rPr>
        <w:t xml:space="preserve"> </w:t>
      </w:r>
    </w:p>
    <w:p w:rsidR="0056011F" w:rsidRPr="00DD7D26" w:rsidRDefault="0056011F" w:rsidP="00C243A2">
      <w:pPr>
        <w:pStyle w:val="FootnoteText"/>
        <w:rPr>
          <w:lang w:val="sv-SE"/>
        </w:rPr>
      </w:pPr>
      <w:r w:rsidRPr="00E47F92">
        <w:rPr>
          <w:rStyle w:val="FootnoteReference"/>
          <w:lang w:val="sv-SE"/>
        </w:rPr>
        <w:t>2</w:t>
      </w:r>
      <w:r w:rsidRPr="008579CF">
        <w:rPr>
          <w:lang w:val="sv-SE"/>
        </w:rPr>
        <w:t xml:space="preserve"> Jenny Gode, F</w:t>
      </w:r>
      <w:r>
        <w:rPr>
          <w:lang w:val="sv-SE"/>
        </w:rPr>
        <w:t>redrik</w:t>
      </w:r>
      <w:r w:rsidRPr="008579CF">
        <w:rPr>
          <w:lang w:val="sv-SE"/>
        </w:rPr>
        <w:t>. M</w:t>
      </w:r>
      <w:r>
        <w:rPr>
          <w:lang w:val="sv-SE"/>
        </w:rPr>
        <w:t>artinsson</w:t>
      </w:r>
      <w:r w:rsidRPr="008579CF">
        <w:rPr>
          <w:lang w:val="sv-SE"/>
        </w:rPr>
        <w:t>., Linus Hagberg, Andreas Öman, Jonas Höglund, David Palm (201</w:t>
      </w:r>
      <w:r w:rsidR="0071670D">
        <w:rPr>
          <w:lang w:val="sv-SE"/>
        </w:rPr>
        <w:t>6</w:t>
      </w:r>
      <w:r w:rsidRPr="008579CF">
        <w:rPr>
          <w:lang w:val="sv-SE"/>
        </w:rPr>
        <w:t>). "Miljöfaktaboken 201</w:t>
      </w:r>
      <w:r w:rsidR="0071670D">
        <w:rPr>
          <w:lang w:val="sv-SE"/>
        </w:rPr>
        <w:t>6</w:t>
      </w:r>
      <w:r w:rsidRPr="008579CF">
        <w:rPr>
          <w:lang w:val="sv-SE"/>
        </w:rPr>
        <w:t xml:space="preserve"> - Uppskattade emissionsfaktorer för bränslen, el, värme och transporter." </w:t>
      </w:r>
      <w:proofErr w:type="spellStart"/>
      <w:r w:rsidRPr="008579CF">
        <w:rPr>
          <w:lang w:val="sv-SE"/>
        </w:rPr>
        <w:t>Värmeforsk</w:t>
      </w:r>
      <w:proofErr w:type="spellEnd"/>
      <w:r w:rsidRPr="008579CF">
        <w:rPr>
          <w:lang w:val="sv-SE"/>
        </w:rPr>
        <w:t>, Anläggnings- och förbränningsteknik 1183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792" w:rsidRDefault="003C77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11F" w:rsidRPr="009564DA" w:rsidRDefault="0056011F" w:rsidP="009F5179">
    <w:pPr>
      <w:pStyle w:val="Header"/>
    </w:pPr>
    <w:r w:rsidRPr="00905A66">
      <w:rPr>
        <w:b/>
        <w:bCs/>
      </w:rPr>
      <w:t>LEED-Guidelines used:</w:t>
    </w:r>
    <w:r>
      <w:t xml:space="preserve"> </w:t>
    </w:r>
  </w:p>
  <w:p w:rsidR="0056011F" w:rsidRDefault="0056011F">
    <w:pPr>
      <w:pStyle w:val="Header"/>
    </w:pPr>
    <w:r>
      <w:rPr>
        <w:b/>
        <w:bCs/>
      </w:rPr>
      <w:t xml:space="preserve">Project Title: </w:t>
    </w:r>
  </w:p>
  <w:p w:rsidR="0056011F" w:rsidRDefault="0056011F">
    <w:pPr>
      <w:pStyle w:val="Header"/>
    </w:pPr>
    <w:r w:rsidRPr="001904BB">
      <w:rPr>
        <w:b/>
        <w:bCs/>
      </w:rPr>
      <w:t>Project Number:</w:t>
    </w:r>
    <w:r>
      <w:t xml:space="preserve"> </w:t>
    </w:r>
  </w:p>
  <w:p w:rsidR="0056011F" w:rsidRPr="002C5F85" w:rsidRDefault="0056011F">
    <w:pPr>
      <w:pStyle w:val="Header"/>
      <w:rPr>
        <w:bCs/>
        <w:lang w:val="sv-SE"/>
      </w:rPr>
    </w:pPr>
    <w:r w:rsidRPr="002C5F85">
      <w:rPr>
        <w:b/>
        <w:lang w:val="sv-SE"/>
      </w:rPr>
      <w:t xml:space="preserve">Projekt </w:t>
    </w:r>
    <w:proofErr w:type="spellStart"/>
    <w:r w:rsidRPr="002C5F85">
      <w:rPr>
        <w:b/>
        <w:lang w:val="sv-SE"/>
      </w:rPr>
      <w:t>address</w:t>
    </w:r>
    <w:proofErr w:type="spellEnd"/>
    <w:r w:rsidRPr="002C5F85">
      <w:rPr>
        <w:b/>
        <w:lang w:val="sv-SE"/>
      </w:rPr>
      <w:t xml:space="preserve">: </w:t>
    </w:r>
  </w:p>
  <w:p w:rsidR="0056011F" w:rsidRPr="002C5F85" w:rsidRDefault="0056011F">
    <w:pPr>
      <w:pStyle w:val="Header"/>
      <w:rPr>
        <w:rStyle w:val="urtxth11"/>
        <w:rFonts w:ascii="Calibri" w:hAnsi="Calibri"/>
        <w:color w:val="auto"/>
        <w:sz w:val="22"/>
        <w:szCs w:val="22"/>
        <w:lang w:val="sv-S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792" w:rsidRDefault="003C77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2E4"/>
    <w:rsid w:val="000208CD"/>
    <w:rsid w:val="000225A9"/>
    <w:rsid w:val="00063A07"/>
    <w:rsid w:val="000E527A"/>
    <w:rsid w:val="00114A50"/>
    <w:rsid w:val="001319B5"/>
    <w:rsid w:val="00152E8B"/>
    <w:rsid w:val="00181CFF"/>
    <w:rsid w:val="00183E15"/>
    <w:rsid w:val="00187E42"/>
    <w:rsid w:val="001904BB"/>
    <w:rsid w:val="001F09FA"/>
    <w:rsid w:val="002115F6"/>
    <w:rsid w:val="00217624"/>
    <w:rsid w:val="002274DF"/>
    <w:rsid w:val="00230F35"/>
    <w:rsid w:val="0028706F"/>
    <w:rsid w:val="00292B22"/>
    <w:rsid w:val="002B6461"/>
    <w:rsid w:val="002C5F85"/>
    <w:rsid w:val="002D7185"/>
    <w:rsid w:val="002E371C"/>
    <w:rsid w:val="002E74A8"/>
    <w:rsid w:val="002F2B43"/>
    <w:rsid w:val="00315E63"/>
    <w:rsid w:val="00323FB4"/>
    <w:rsid w:val="0032754C"/>
    <w:rsid w:val="003904D4"/>
    <w:rsid w:val="00397504"/>
    <w:rsid w:val="003B6102"/>
    <w:rsid w:val="003B6E9E"/>
    <w:rsid w:val="003B7019"/>
    <w:rsid w:val="003C7792"/>
    <w:rsid w:val="003D2F21"/>
    <w:rsid w:val="003E6BB4"/>
    <w:rsid w:val="004201FD"/>
    <w:rsid w:val="00421CD6"/>
    <w:rsid w:val="004535DE"/>
    <w:rsid w:val="004B50A9"/>
    <w:rsid w:val="004B7C08"/>
    <w:rsid w:val="004C2CCC"/>
    <w:rsid w:val="004C4C4A"/>
    <w:rsid w:val="004C79D5"/>
    <w:rsid w:val="0056011F"/>
    <w:rsid w:val="00561566"/>
    <w:rsid w:val="006230EC"/>
    <w:rsid w:val="006805AD"/>
    <w:rsid w:val="00682F90"/>
    <w:rsid w:val="006E7987"/>
    <w:rsid w:val="006E7E73"/>
    <w:rsid w:val="006F5077"/>
    <w:rsid w:val="0071552F"/>
    <w:rsid w:val="007165F8"/>
    <w:rsid w:val="0071670D"/>
    <w:rsid w:val="00733657"/>
    <w:rsid w:val="007571A9"/>
    <w:rsid w:val="00792983"/>
    <w:rsid w:val="00797FF9"/>
    <w:rsid w:val="007D09D9"/>
    <w:rsid w:val="007D4142"/>
    <w:rsid w:val="008579CF"/>
    <w:rsid w:val="008A1029"/>
    <w:rsid w:val="008A6858"/>
    <w:rsid w:val="008A710B"/>
    <w:rsid w:val="008C11F0"/>
    <w:rsid w:val="008C3705"/>
    <w:rsid w:val="008F3997"/>
    <w:rsid w:val="00905498"/>
    <w:rsid w:val="00905A66"/>
    <w:rsid w:val="00920BB9"/>
    <w:rsid w:val="009261AD"/>
    <w:rsid w:val="009306B0"/>
    <w:rsid w:val="009564DA"/>
    <w:rsid w:val="009662DB"/>
    <w:rsid w:val="009A6B4B"/>
    <w:rsid w:val="009B31FA"/>
    <w:rsid w:val="009F26F7"/>
    <w:rsid w:val="009F5179"/>
    <w:rsid w:val="00A31E9B"/>
    <w:rsid w:val="00A53115"/>
    <w:rsid w:val="00A63C21"/>
    <w:rsid w:val="00A74522"/>
    <w:rsid w:val="00A976C9"/>
    <w:rsid w:val="00B36F1F"/>
    <w:rsid w:val="00B4167F"/>
    <w:rsid w:val="00B546AD"/>
    <w:rsid w:val="00B57F33"/>
    <w:rsid w:val="00B67F91"/>
    <w:rsid w:val="00B76073"/>
    <w:rsid w:val="00B93094"/>
    <w:rsid w:val="00BB385F"/>
    <w:rsid w:val="00BC12A2"/>
    <w:rsid w:val="00BC3E87"/>
    <w:rsid w:val="00BC488F"/>
    <w:rsid w:val="00BE08B3"/>
    <w:rsid w:val="00C243A2"/>
    <w:rsid w:val="00C275DC"/>
    <w:rsid w:val="00C3120E"/>
    <w:rsid w:val="00C35EBF"/>
    <w:rsid w:val="00C44B19"/>
    <w:rsid w:val="00C61A82"/>
    <w:rsid w:val="00C6361A"/>
    <w:rsid w:val="00C769DD"/>
    <w:rsid w:val="00C85C88"/>
    <w:rsid w:val="00CA6FD3"/>
    <w:rsid w:val="00CC75B3"/>
    <w:rsid w:val="00CC7E1D"/>
    <w:rsid w:val="00CD2B58"/>
    <w:rsid w:val="00CD39E4"/>
    <w:rsid w:val="00D04928"/>
    <w:rsid w:val="00D101E6"/>
    <w:rsid w:val="00D11189"/>
    <w:rsid w:val="00D21CFD"/>
    <w:rsid w:val="00D23630"/>
    <w:rsid w:val="00D272E3"/>
    <w:rsid w:val="00D33873"/>
    <w:rsid w:val="00D52ABE"/>
    <w:rsid w:val="00D92ED1"/>
    <w:rsid w:val="00DC1A5C"/>
    <w:rsid w:val="00DD378F"/>
    <w:rsid w:val="00DD7D26"/>
    <w:rsid w:val="00DF285E"/>
    <w:rsid w:val="00E0157F"/>
    <w:rsid w:val="00E16C4C"/>
    <w:rsid w:val="00E362F1"/>
    <w:rsid w:val="00E40379"/>
    <w:rsid w:val="00E47F92"/>
    <w:rsid w:val="00E57602"/>
    <w:rsid w:val="00E61506"/>
    <w:rsid w:val="00E75499"/>
    <w:rsid w:val="00E95808"/>
    <w:rsid w:val="00EB073D"/>
    <w:rsid w:val="00EC4E8B"/>
    <w:rsid w:val="00EC646A"/>
    <w:rsid w:val="00F70F08"/>
    <w:rsid w:val="00FC5274"/>
    <w:rsid w:val="00FD72E4"/>
    <w:rsid w:val="00FE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013FA4-9276-4695-8FFF-D6DC67B6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189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D72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CC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7E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A6FD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2176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1762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17624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21762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17624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956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564D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56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564DA"/>
    <w:rPr>
      <w:rFonts w:cs="Times New Roman"/>
    </w:rPr>
  </w:style>
  <w:style w:type="character" w:customStyle="1" w:styleId="urtxtstd2">
    <w:name w:val="urtxtstd2"/>
    <w:basedOn w:val="DefaultParagraphFont"/>
    <w:uiPriority w:val="99"/>
    <w:rsid w:val="009564DA"/>
    <w:rPr>
      <w:rFonts w:ascii="Lucida Sans Unicode" w:hAnsi="Lucida Sans Unicode" w:cs="Lucida Sans Unicode"/>
      <w:color w:val="333333"/>
      <w:sz w:val="18"/>
      <w:szCs w:val="18"/>
    </w:rPr>
  </w:style>
  <w:style w:type="character" w:customStyle="1" w:styleId="urtxth11">
    <w:name w:val="urtxth11"/>
    <w:basedOn w:val="DefaultParagraphFont"/>
    <w:uiPriority w:val="99"/>
    <w:rsid w:val="009564DA"/>
    <w:rPr>
      <w:rFonts w:ascii="Lucida Sans" w:hAnsi="Lucida Sans" w:cs="Times New Roman"/>
      <w:b/>
      <w:bCs/>
      <w:color w:val="666666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15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sv-SE" w:eastAsia="sv-S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156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9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9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9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69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696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69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696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696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696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696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696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7696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69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3572</Characters>
  <Application>Microsoft Office Word</Application>
  <DocSecurity>4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DES - Appendix to credit: EAc5 - Measurement and Verification</vt:lpstr>
      <vt:lpstr>DES - Appendix to credit: EAc5 - Measurement and Verification</vt:lpstr>
    </vt:vector>
  </TitlesOfParts>
  <Company>IVL</Company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 - Appendix to credit: EAc5 - Measurement and Verification</dc:title>
  <dc:subject/>
  <dc:creator>Daniel Holm</dc:creator>
  <cp:keywords/>
  <dc:description/>
  <cp:lastModifiedBy>Andersson Anna</cp:lastModifiedBy>
  <cp:revision>2</cp:revision>
  <dcterms:created xsi:type="dcterms:W3CDTF">2018-01-24T08:11:00Z</dcterms:created>
  <dcterms:modified xsi:type="dcterms:W3CDTF">2018-01-24T08:11:00Z</dcterms:modified>
</cp:coreProperties>
</file>